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Times New Roman" w:hAnsi="Times New Roman" w:eastAsia="宋体"/>
          <w:b/>
          <w:sz w:val="44"/>
          <w:szCs w:val="44"/>
        </w:rPr>
      </w:pPr>
      <w:r>
        <w:rPr>
          <w:rFonts w:hint="eastAsia" w:ascii="Times New Roman" w:hAnsi="Times New Roman" w:eastAsia="宋体"/>
          <w:b/>
          <w:sz w:val="44"/>
          <w:szCs w:val="44"/>
          <w:lang w:val="en-US" w:eastAsia="zh-CN"/>
        </w:rPr>
        <w:t xml:space="preserve"> 白城铁路运输</w:t>
      </w:r>
      <w:r>
        <w:rPr>
          <w:rFonts w:hint="eastAsia" w:ascii="Times New Roman" w:hAnsi="Times New Roman" w:eastAsia="宋体"/>
          <w:b/>
          <w:sz w:val="44"/>
          <w:szCs w:val="44"/>
        </w:rPr>
        <w:t>法院</w:t>
      </w:r>
    </w:p>
    <w:p>
      <w:pPr>
        <w:snapToGrid w:val="0"/>
        <w:spacing w:line="560" w:lineRule="exact"/>
        <w:jc w:val="center"/>
        <w:rPr>
          <w:rFonts w:ascii="Times New Roman" w:hAnsi="Times New Roman" w:eastAsia="宋体"/>
          <w:b/>
          <w:sz w:val="44"/>
          <w:szCs w:val="44"/>
        </w:rPr>
      </w:pPr>
      <w:r>
        <w:rPr>
          <w:rFonts w:ascii="Times New Roman" w:hAnsi="Times New Roman" w:eastAsia="宋体"/>
          <w:b/>
          <w:sz w:val="44"/>
          <w:szCs w:val="44"/>
        </w:rPr>
        <w:t>20</w:t>
      </w:r>
      <w:r>
        <w:rPr>
          <w:rFonts w:hint="eastAsia" w:ascii="Times New Roman" w:hAnsi="Times New Roman" w:eastAsia="宋体"/>
          <w:b/>
          <w:sz w:val="44"/>
          <w:szCs w:val="44"/>
          <w:lang w:val="en-US" w:eastAsia="zh-CN"/>
        </w:rPr>
        <w:t>16</w:t>
      </w:r>
      <w:r>
        <w:rPr>
          <w:rFonts w:ascii="Times New Roman" w:hAnsi="Times New Roman" w:eastAsia="宋体"/>
          <w:b/>
          <w:sz w:val="44"/>
          <w:szCs w:val="44"/>
        </w:rPr>
        <w:t>年</w:t>
      </w:r>
      <w:r>
        <w:rPr>
          <w:rFonts w:hint="eastAsia" w:ascii="Times New Roman" w:hAnsi="Times New Roman" w:eastAsia="宋体"/>
          <w:b/>
          <w:sz w:val="44"/>
          <w:szCs w:val="44"/>
          <w:lang w:val="en-US" w:eastAsia="zh-CN"/>
        </w:rPr>
        <w:t>第四季度</w:t>
      </w:r>
      <w:r>
        <w:rPr>
          <w:rFonts w:hint="eastAsia" w:ascii="Times New Roman" w:hAnsi="Times New Roman" w:eastAsia="宋体"/>
          <w:b/>
          <w:sz w:val="44"/>
          <w:szCs w:val="44"/>
        </w:rPr>
        <w:t>审判态势分析</w:t>
      </w:r>
      <w:bookmarkStart w:id="0" w:name="_GoBack"/>
      <w:bookmarkEnd w:id="0"/>
      <w:r>
        <w:rPr>
          <w:rFonts w:hint="eastAsia" w:ascii="Times New Roman" w:hAnsi="Times New Roman" w:eastAsia="宋体"/>
          <w:b/>
          <w:sz w:val="44"/>
          <w:szCs w:val="44"/>
          <w:lang w:val="en-US" w:eastAsia="zh-CN"/>
        </w:rPr>
        <w:t>报告</w:t>
      </w:r>
    </w:p>
    <w:p>
      <w:pPr>
        <w:snapToGrid w:val="0"/>
        <w:spacing w:line="360" w:lineRule="auto"/>
        <w:ind w:firstLine="640" w:firstLineChars="200"/>
        <w:rPr>
          <w:rFonts w:hint="eastAsia" w:ascii="黑体" w:hAnsi="黑体" w:eastAsia="黑体"/>
        </w:rPr>
      </w:pPr>
    </w:p>
    <w:p>
      <w:pPr>
        <w:snapToGrid w:val="0"/>
        <w:spacing w:line="360" w:lineRule="auto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一、收结案情况</w:t>
      </w:r>
    </w:p>
    <w:p>
      <w:pPr>
        <w:snapToGrid w:val="0"/>
        <w:spacing w:line="360" w:lineRule="auto"/>
        <w:ind w:firstLine="643" w:firstLineChars="200"/>
        <w:jc w:val="left"/>
        <w:rPr>
          <w:rFonts w:ascii="Times New Roman" w:hAnsi="楷体" w:eastAsia="楷体"/>
          <w:b/>
        </w:rPr>
      </w:pPr>
      <w:r>
        <w:rPr>
          <w:rFonts w:hint="eastAsia" w:ascii="Times New Roman" w:hAnsi="楷体" w:eastAsia="楷体"/>
          <w:b/>
        </w:rPr>
        <w:t>（一）总体收结案情况</w:t>
      </w:r>
    </w:p>
    <w:p>
      <w:pPr>
        <w:snapToGrid w:val="0"/>
        <w:spacing w:line="360" w:lineRule="auto"/>
        <w:ind w:firstLine="640" w:firstLineChars="200"/>
        <w:rPr>
          <w:rFonts w:hAnsi="仿宋"/>
        </w:rPr>
      </w:pPr>
      <w:r>
        <w:rPr>
          <w:rFonts w:ascii="Times New Roman" w:hAnsi="Times New Roman"/>
        </w:rPr>
        <w:t>1-</w:t>
      </w:r>
      <w:r>
        <w:rPr>
          <w:rFonts w:hint="eastAsia" w:ascii="Times New Roman" w:hAnsi="Times New Roman"/>
          <w:lang w:val="en-US" w:eastAsia="zh-CN"/>
        </w:rPr>
        <w:t>12</w:t>
      </w:r>
      <w:r>
        <w:rPr>
          <w:rFonts w:ascii="Times New Roman" w:hAnsi="Times New Roman"/>
        </w:rPr>
        <w:t>月份</w:t>
      </w:r>
      <w:r>
        <w:rPr>
          <w:rFonts w:hint="eastAsia" w:hAnsi="Times New Roman"/>
        </w:rPr>
        <w:t>共受理</w:t>
      </w:r>
      <w:r>
        <w:rPr>
          <w:rStyle w:val="9"/>
          <w:rFonts w:hint="eastAsia" w:hAnsi="Times New Roman"/>
        </w:rPr>
        <w:footnoteReference w:id="0"/>
      </w:r>
      <w:r>
        <w:rPr>
          <w:rFonts w:hint="eastAsia" w:hAnsi="Times New Roman"/>
        </w:rPr>
        <w:t>各类案件</w:t>
      </w:r>
      <w:r>
        <w:rPr>
          <w:rFonts w:hint="eastAsia" w:ascii="Times New Roman" w:hAnsi="Times New Roman"/>
          <w:lang w:val="en-US" w:eastAsia="zh-CN"/>
        </w:rPr>
        <w:t>31</w:t>
      </w:r>
      <w:r>
        <w:rPr>
          <w:rFonts w:hint="eastAsia" w:hAnsi="Times New Roman"/>
        </w:rPr>
        <w:t>件</w:t>
      </w:r>
      <w:r>
        <w:rPr>
          <w:rStyle w:val="9"/>
          <w:rFonts w:hint="eastAsia" w:hAnsi="Times New Roman"/>
        </w:rPr>
        <w:footnoteReference w:id="1"/>
      </w:r>
      <w:r>
        <w:rPr>
          <w:rFonts w:hint="eastAsia" w:hAnsi="Times New Roman"/>
        </w:rPr>
        <w:t>，同比增加</w:t>
      </w:r>
      <w:r>
        <w:rPr>
          <w:rFonts w:hint="eastAsia" w:hAnsi="Times New Roman"/>
          <w:lang w:val="en-US" w:eastAsia="zh-CN"/>
        </w:rPr>
        <w:t>4</w:t>
      </w:r>
      <w:r>
        <w:rPr>
          <w:rFonts w:hint="eastAsia" w:hAnsi="Times New Roman"/>
        </w:rPr>
        <w:t>件，上升</w:t>
      </w:r>
      <w:r>
        <w:rPr>
          <w:rFonts w:hint="eastAsia" w:ascii="Times New Roman" w:hAnsi="Times New Roman"/>
          <w:lang w:val="en-US" w:eastAsia="zh-CN"/>
        </w:rPr>
        <w:t>14.81</w:t>
      </w:r>
      <w:r>
        <w:rPr>
          <w:rFonts w:hint="eastAsia" w:hAnsi="Times New Roman"/>
        </w:rPr>
        <w:t>%。</w:t>
      </w:r>
      <w:r>
        <w:rPr>
          <w:rFonts w:hint="eastAsia" w:hAnsi="仿宋"/>
        </w:rPr>
        <w:t>其中，旧存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>
        <w:rPr>
          <w:rFonts w:hint="eastAsia" w:hAnsi="仿宋"/>
        </w:rPr>
        <w:t>件，</w:t>
      </w:r>
      <w:r>
        <w:rPr>
          <w:rFonts w:hint="eastAsia" w:hAnsi="Times New Roman"/>
        </w:rPr>
        <w:t>同比</w:t>
      </w:r>
      <w:r>
        <w:rPr>
          <w:rFonts w:hint="eastAsia" w:hAnsi="Times New Roman"/>
          <w:lang w:val="en-US" w:eastAsia="zh-CN"/>
        </w:rPr>
        <w:t>无变化</w:t>
      </w:r>
      <w:r>
        <w:rPr>
          <w:rFonts w:hint="eastAsia" w:hAnsi="Times New Roman"/>
        </w:rPr>
        <w:t>;</w:t>
      </w:r>
      <w:r>
        <w:rPr>
          <w:rFonts w:hint="eastAsia" w:hAnsi="仿宋"/>
        </w:rPr>
        <w:t>新收</w:t>
      </w:r>
      <w:r>
        <w:rPr>
          <w:rFonts w:hint="eastAsia" w:ascii="Times New Roman" w:hAnsi="Times New Roman"/>
          <w:lang w:val="en-US" w:eastAsia="zh-CN"/>
        </w:rPr>
        <w:t>30</w:t>
      </w:r>
      <w:r>
        <w:rPr>
          <w:rFonts w:hint="eastAsia" w:hAnsi="仿宋"/>
        </w:rPr>
        <w:t>件，同比</w:t>
      </w:r>
      <w:r>
        <w:rPr>
          <w:rFonts w:hint="eastAsia" w:hAnsi="仿宋"/>
          <w:lang w:val="en-US" w:eastAsia="zh-CN"/>
        </w:rPr>
        <w:t>增加4</w:t>
      </w:r>
      <w:r>
        <w:rPr>
          <w:rFonts w:hint="eastAsia" w:hAnsi="仿宋"/>
        </w:rPr>
        <w:t>件，</w:t>
      </w:r>
      <w:r>
        <w:rPr>
          <w:rFonts w:hint="eastAsia" w:hAnsi="仿宋"/>
          <w:lang w:val="en-US" w:eastAsia="zh-CN"/>
        </w:rPr>
        <w:t>上升15.38</w:t>
      </w:r>
      <w:r>
        <w:rPr>
          <w:rFonts w:ascii="Times New Roman" w:hAnsi="Times New Roman"/>
        </w:rPr>
        <w:t>%</w:t>
      </w:r>
      <w:r>
        <w:rPr>
          <w:rFonts w:hint="eastAsia" w:hAnsi="仿宋"/>
        </w:rPr>
        <w:t>；审执结</w:t>
      </w:r>
      <w:r>
        <w:rPr>
          <w:rFonts w:hint="eastAsia" w:hAnsi="仿宋"/>
          <w:lang w:val="en-US" w:eastAsia="zh-CN"/>
        </w:rPr>
        <w:t>30</w:t>
      </w:r>
      <w:r>
        <w:rPr>
          <w:rFonts w:hint="eastAsia" w:hAnsi="仿宋"/>
        </w:rPr>
        <w:t>件，同比增加</w:t>
      </w:r>
      <w:r>
        <w:rPr>
          <w:rFonts w:hint="eastAsia" w:hAnsi="仿宋"/>
          <w:lang w:val="en-US" w:eastAsia="zh-CN"/>
        </w:rPr>
        <w:t>4</w:t>
      </w:r>
      <w:r>
        <w:rPr>
          <w:rFonts w:hint="eastAsia" w:hAnsi="仿宋"/>
        </w:rPr>
        <w:t>件，上升</w:t>
      </w:r>
      <w:r>
        <w:rPr>
          <w:rFonts w:ascii="Times New Roman" w:hAnsi="Times New Roman"/>
        </w:rPr>
        <w:t>15</w:t>
      </w:r>
      <w:r>
        <w:rPr>
          <w:rFonts w:hint="eastAsia" w:ascii="Times New Roman" w:hAnsi="Times New Roman"/>
        </w:rPr>
        <w:t>.</w:t>
      </w:r>
      <w:r>
        <w:rPr>
          <w:rFonts w:hint="eastAsia" w:ascii="Times New Roman" w:hAnsi="Times New Roman"/>
          <w:lang w:val="en-US" w:eastAsia="zh-CN"/>
        </w:rPr>
        <w:t>38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hAnsi="仿宋"/>
        </w:rPr>
        <w:t>%；未结</w:t>
      </w:r>
      <w:r>
        <w:rPr>
          <w:rFonts w:hint="eastAsia" w:ascii="Times New Roman" w:hAnsi="Times New Roman"/>
          <w:lang w:val="en-US" w:eastAsia="zh-CN"/>
        </w:rPr>
        <w:t>1</w:t>
      </w:r>
      <w:r>
        <w:rPr>
          <w:rFonts w:hint="eastAsia" w:hAnsi="仿宋"/>
        </w:rPr>
        <w:t>件，同比</w:t>
      </w:r>
      <w:r>
        <w:rPr>
          <w:rFonts w:hint="eastAsia" w:hAnsi="仿宋"/>
          <w:lang w:val="en-US" w:eastAsia="zh-CN"/>
        </w:rPr>
        <w:t>无变化</w:t>
      </w:r>
      <w:r>
        <w:rPr>
          <w:rFonts w:hint="eastAsia" w:hAnsi="仿宋"/>
        </w:rPr>
        <w:t>。结案率</w:t>
      </w:r>
      <w:r>
        <w:rPr>
          <w:rFonts w:ascii="Times New Roman" w:hAnsi="Times New Roman"/>
        </w:rPr>
        <w:t>9</w:t>
      </w:r>
      <w:r>
        <w:rPr>
          <w:rFonts w:hint="eastAsia" w:ascii="Times New Roman" w:hAnsi="Times New Roman"/>
          <w:lang w:val="en-US" w:eastAsia="zh-CN"/>
        </w:rPr>
        <w:t>6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7</w:t>
      </w:r>
      <w:r>
        <w:rPr>
          <w:rFonts w:hint="eastAsia" w:ascii="Times New Roman" w:hAnsi="Times New Roman"/>
          <w:lang w:val="en-US" w:eastAsia="zh-CN"/>
        </w:rPr>
        <w:t>7</w:t>
      </w:r>
      <w:r>
        <w:rPr>
          <w:rFonts w:hint="eastAsia" w:hAnsi="仿宋"/>
        </w:rPr>
        <w:t>%，同比上升</w:t>
      </w:r>
      <w:r>
        <w:rPr>
          <w:rFonts w:hint="eastAsia" w:ascii="Times New Roman" w:hAnsi="Times New Roman"/>
          <w:lang w:val="en-US" w:eastAsia="zh-CN"/>
        </w:rPr>
        <w:t>0.47</w:t>
      </w:r>
      <w:r>
        <w:rPr>
          <w:rFonts w:hint="eastAsia" w:hAnsi="仿宋"/>
        </w:rPr>
        <w:t>个百分点。</w:t>
      </w:r>
    </w:p>
    <w:p>
      <w:pPr>
        <w:spacing w:line="360" w:lineRule="auto"/>
        <w:ind w:left="64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4838700" cy="2979420"/>
            <wp:effectExtent l="0" t="0" r="0" b="0"/>
            <wp:docPr id="1" name="Pictur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snapToGrid w:val="0"/>
        <w:spacing w:line="360" w:lineRule="auto"/>
        <w:ind w:firstLine="643" w:firstLineChars="200"/>
        <w:jc w:val="left"/>
        <w:rPr>
          <w:rFonts w:ascii="Times New Roman" w:hAnsi="楷体" w:eastAsia="楷体"/>
          <w:b/>
        </w:rPr>
      </w:pPr>
    </w:p>
    <w:p>
      <w:pPr>
        <w:snapToGrid w:val="0"/>
        <w:spacing w:line="360" w:lineRule="auto"/>
        <w:ind w:firstLine="643" w:firstLineChars="200"/>
        <w:jc w:val="left"/>
        <w:rPr>
          <w:rFonts w:ascii="Times New Roman" w:hAnsi="楷体" w:eastAsia="楷体"/>
          <w:b/>
        </w:rPr>
      </w:pPr>
    </w:p>
    <w:p>
      <w:pPr>
        <w:snapToGrid w:val="0"/>
        <w:spacing w:line="360" w:lineRule="auto"/>
        <w:ind w:firstLine="643" w:firstLineChars="200"/>
        <w:jc w:val="left"/>
        <w:rPr>
          <w:rFonts w:ascii="Times New Roman" w:hAnsi="楷体" w:eastAsia="楷体"/>
          <w:b/>
        </w:rPr>
      </w:pPr>
      <w:r>
        <w:rPr>
          <w:rFonts w:ascii="Times New Roman" w:hAnsi="楷体" w:eastAsia="楷体"/>
          <w:b/>
        </w:rPr>
        <w:t>（</w:t>
      </w:r>
      <w:r>
        <w:rPr>
          <w:rFonts w:hint="eastAsia" w:ascii="Times New Roman" w:hAnsi="楷体" w:eastAsia="楷体"/>
          <w:b/>
        </w:rPr>
        <w:t>二</w:t>
      </w:r>
      <w:r>
        <w:rPr>
          <w:rFonts w:ascii="Times New Roman" w:hAnsi="楷体" w:eastAsia="楷体"/>
          <w:b/>
        </w:rPr>
        <w:t>）</w:t>
      </w:r>
      <w:r>
        <w:rPr>
          <w:rFonts w:hint="eastAsia" w:ascii="Times New Roman" w:hAnsi="楷体" w:eastAsia="楷体"/>
          <w:b/>
        </w:rPr>
        <w:t>具体</w:t>
      </w:r>
      <w:r>
        <w:rPr>
          <w:rFonts w:ascii="Times New Roman" w:hAnsi="楷体" w:eastAsia="楷体"/>
          <w:b/>
        </w:rPr>
        <w:t>收结案情况</w:t>
      </w:r>
      <w:r>
        <w:rPr>
          <w:rFonts w:hint="eastAsia" w:ascii="Times New Roman" w:hAnsi="楷体" w:eastAsia="楷体"/>
          <w:b/>
        </w:rPr>
        <w:t>表</w:t>
      </w:r>
    </w:p>
    <w:p>
      <w:pPr>
        <w:snapToGrid w:val="0"/>
        <w:spacing w:line="360" w:lineRule="auto"/>
        <w:ind w:firstLine="643" w:firstLineChars="200"/>
        <w:jc w:val="center"/>
        <w:rPr>
          <w:rFonts w:ascii="Times New Roman" w:hAnsi="Times New Roman"/>
          <w:b/>
          <w:sz w:val="16"/>
        </w:rPr>
      </w:pPr>
      <w:r>
        <w:rPr>
          <w:rFonts w:hint="eastAsia" w:ascii="Times New Roman" w:hAnsi="Times New Roman"/>
          <w:b/>
          <w:lang w:val="en-US" w:eastAsia="zh-CN"/>
        </w:rPr>
        <w:t>白城铁路运输</w:t>
      </w:r>
      <w:r>
        <w:rPr>
          <w:rFonts w:ascii="Times New Roman" w:hAnsi="Times New Roman"/>
          <w:b/>
        </w:rPr>
        <w:t>法院收结案统计表</w:t>
      </w:r>
      <w:r>
        <w:rPr>
          <w:rStyle w:val="9"/>
          <w:rFonts w:ascii="Times New Roman" w:hAnsi="Times New Roman"/>
          <w:b/>
        </w:rPr>
        <w:footnoteReference w:id="2"/>
      </w:r>
    </w:p>
    <w:tbl>
      <w:tblPr>
        <w:tblStyle w:val="10"/>
        <w:tblW w:w="1141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4"/>
        <w:gridCol w:w="816"/>
        <w:gridCol w:w="816"/>
        <w:gridCol w:w="816"/>
        <w:gridCol w:w="816"/>
        <w:gridCol w:w="816"/>
        <w:gridCol w:w="956"/>
        <w:gridCol w:w="816"/>
        <w:gridCol w:w="816"/>
        <w:gridCol w:w="816"/>
        <w:gridCol w:w="11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417" w:type="dxa"/>
            <w:gridSpan w:val="11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统计日期：2016-01-01到2016-1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单位：件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7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法院</w:t>
            </w:r>
          </w:p>
        </w:tc>
        <w:tc>
          <w:tcPr>
            <w:tcW w:w="81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旧存</w:t>
            </w:r>
          </w:p>
        </w:tc>
        <w:tc>
          <w:tcPr>
            <w:tcW w:w="81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新收</w:t>
            </w:r>
          </w:p>
        </w:tc>
        <w:tc>
          <w:tcPr>
            <w:tcW w:w="81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未结</w:t>
            </w:r>
          </w:p>
        </w:tc>
        <w:tc>
          <w:tcPr>
            <w:tcW w:w="81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已结</w:t>
            </w:r>
          </w:p>
        </w:tc>
        <w:tc>
          <w:tcPr>
            <w:tcW w:w="81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总计</w:t>
            </w:r>
          </w:p>
        </w:tc>
        <w:tc>
          <w:tcPr>
            <w:tcW w:w="9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结案率</w:t>
            </w:r>
          </w:p>
        </w:tc>
        <w:tc>
          <w:tcPr>
            <w:tcW w:w="81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平均审期</w:t>
            </w:r>
          </w:p>
        </w:tc>
        <w:tc>
          <w:tcPr>
            <w:tcW w:w="81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法官人数</w:t>
            </w:r>
          </w:p>
        </w:tc>
        <w:tc>
          <w:tcPr>
            <w:tcW w:w="81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人均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受案</w:t>
            </w:r>
          </w:p>
        </w:tc>
        <w:tc>
          <w:tcPr>
            <w:tcW w:w="119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人均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结案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7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白城铁路运输法院</w:t>
            </w:r>
          </w:p>
        </w:tc>
        <w:tc>
          <w:tcPr>
            <w:tcW w:w="81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816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6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816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95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6.77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6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70.6</w:t>
            </w:r>
          </w:p>
        </w:tc>
        <w:tc>
          <w:tcPr>
            <w:tcW w:w="816" w:type="dxa"/>
            <w:shd w:val="clear" w:color="000000" w:fill="FFFFFF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shd w:val="clear" w:color="000000" w:fill="FFFFFF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4.14 </w:t>
            </w:r>
          </w:p>
        </w:tc>
        <w:tc>
          <w:tcPr>
            <w:tcW w:w="1199" w:type="dxa"/>
            <w:shd w:val="clear" w:color="000000" w:fill="FFFFFF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spacing w:line="360" w:lineRule="auto"/>
        <w:ind w:left="645"/>
        <w:rPr>
          <w:rFonts w:ascii="黑体" w:hAnsi="黑体" w:eastAsia="黑体"/>
          <w:b/>
        </w:rPr>
      </w:pPr>
    </w:p>
    <w:p>
      <w:pPr>
        <w:spacing w:line="360" w:lineRule="auto"/>
        <w:ind w:left="645"/>
        <w:rPr>
          <w:rFonts w:ascii="黑体" w:hAnsi="黑体" w:eastAsia="黑体"/>
          <w:b/>
        </w:rPr>
      </w:pPr>
      <w:r>
        <w:rPr>
          <w:rFonts w:ascii="黑体" w:hAnsi="黑体" w:eastAsia="黑体"/>
          <w:b/>
        </w:rPr>
        <w:t>二、</w:t>
      </w:r>
      <w:r>
        <w:rPr>
          <w:rFonts w:hint="eastAsia" w:ascii="黑体" w:hAnsi="黑体" w:eastAsia="黑体"/>
          <w:b/>
        </w:rPr>
        <w:t>各类型</w:t>
      </w:r>
      <w:r>
        <w:rPr>
          <w:rFonts w:ascii="黑体" w:hAnsi="黑体" w:eastAsia="黑体"/>
          <w:b/>
        </w:rPr>
        <w:t>案件审理情况</w:t>
      </w:r>
    </w:p>
    <w:p>
      <w:pPr>
        <w:spacing w:line="360" w:lineRule="auto"/>
        <w:ind w:left="645"/>
        <w:rPr>
          <w:rFonts w:ascii="楷体" w:hAnsi="楷体" w:eastAsia="楷体"/>
          <w:b/>
        </w:rPr>
      </w:pPr>
      <w:r>
        <w:rPr>
          <w:rFonts w:ascii="楷体" w:hAnsi="楷体" w:eastAsia="楷体"/>
          <w:b/>
        </w:rPr>
        <w:t>（一）刑事案件</w:t>
      </w:r>
    </w:p>
    <w:p>
      <w:pPr>
        <w:snapToGrid w:val="0"/>
        <w:spacing w:line="360" w:lineRule="auto"/>
        <w:ind w:firstLine="640" w:firstLineChars="200"/>
        <w:jc w:val="left"/>
        <w:rPr>
          <w:rFonts w:hAnsi="Times New Roman"/>
        </w:rPr>
      </w:pPr>
      <w:r>
        <w:rPr>
          <w:rFonts w:hint="eastAsia" w:hAnsi="Times New Roman"/>
          <w:lang w:val="en-US" w:eastAsia="zh-CN"/>
        </w:rPr>
        <w:t>白城铁路运输</w:t>
      </w:r>
      <w:r>
        <w:rPr>
          <w:rFonts w:hint="eastAsia" w:hAnsi="Times New Roman"/>
        </w:rPr>
        <w:t>法院共受理刑事案件</w:t>
      </w:r>
      <w:r>
        <w:rPr>
          <w:rFonts w:hint="eastAsia" w:ascii="Times New Roman" w:hAnsi="Times New Roman"/>
          <w:lang w:val="en-US" w:eastAsia="zh-CN"/>
        </w:rPr>
        <w:t>15</w:t>
      </w:r>
      <w:r>
        <w:rPr>
          <w:rFonts w:hAnsi="Times New Roman"/>
        </w:rPr>
        <w:t>件。其中，旧存</w:t>
      </w:r>
      <w:r>
        <w:rPr>
          <w:rFonts w:hint="eastAsia" w:hAnsi="Times New Roman"/>
          <w:lang w:val="en-US" w:eastAsia="zh-CN"/>
        </w:rPr>
        <w:t>0</w:t>
      </w:r>
      <w:r>
        <w:rPr>
          <w:rFonts w:hAnsi="Times New Roman"/>
        </w:rPr>
        <w:t>件；新收</w:t>
      </w:r>
      <w:r>
        <w:rPr>
          <w:rFonts w:hint="eastAsia" w:ascii="Times New Roman" w:hAnsi="Times New Roman"/>
          <w:lang w:val="en-US" w:eastAsia="zh-CN"/>
        </w:rPr>
        <w:t>15</w:t>
      </w:r>
      <w:r>
        <w:rPr>
          <w:rFonts w:hAnsi="Times New Roman"/>
        </w:rPr>
        <w:t>件，同比</w:t>
      </w:r>
      <w:r>
        <w:rPr>
          <w:rFonts w:hint="eastAsia" w:hAnsi="Times New Roman"/>
          <w:lang w:val="en-US" w:eastAsia="zh-CN"/>
        </w:rPr>
        <w:t>增加3</w:t>
      </w:r>
      <w:r>
        <w:rPr>
          <w:rFonts w:hint="eastAsia" w:hAnsi="Times New Roman"/>
        </w:rPr>
        <w:t>件，</w:t>
      </w:r>
      <w:r>
        <w:rPr>
          <w:rFonts w:hint="eastAsia" w:hAnsi="Times New Roman"/>
          <w:lang w:val="en-US" w:eastAsia="zh-CN"/>
        </w:rPr>
        <w:t>上升</w:t>
      </w:r>
      <w:r>
        <w:rPr>
          <w:rFonts w:hint="eastAsia" w:ascii="Times New Roman" w:hAnsi="Times New Roman"/>
          <w:lang w:val="en-US" w:eastAsia="zh-CN"/>
        </w:rPr>
        <w:t>25</w:t>
      </w:r>
      <w:r>
        <w:rPr>
          <w:rFonts w:hint="eastAsia" w:hAnsi="Times New Roman"/>
        </w:rPr>
        <w:t>%</w:t>
      </w:r>
      <w:r>
        <w:rPr>
          <w:rFonts w:hAnsi="Times New Roman"/>
        </w:rPr>
        <w:t>；审结</w:t>
      </w:r>
      <w:r>
        <w:rPr>
          <w:rFonts w:hint="eastAsia" w:ascii="Times New Roman" w:hAnsi="Times New Roman"/>
          <w:lang w:val="en-US" w:eastAsia="zh-CN"/>
        </w:rPr>
        <w:t>15</w:t>
      </w:r>
      <w:r>
        <w:rPr>
          <w:rFonts w:hAnsi="Times New Roman"/>
        </w:rPr>
        <w:t>件，同比</w:t>
      </w:r>
      <w:r>
        <w:rPr>
          <w:rFonts w:hint="eastAsia" w:hAnsi="Times New Roman"/>
          <w:lang w:val="en-US" w:eastAsia="zh-CN"/>
        </w:rPr>
        <w:t>增加3</w:t>
      </w:r>
      <w:r>
        <w:rPr>
          <w:rFonts w:hint="eastAsia" w:hAnsi="Times New Roman"/>
        </w:rPr>
        <w:t>件，</w:t>
      </w:r>
      <w:r>
        <w:rPr>
          <w:rFonts w:hint="eastAsia" w:hAnsi="Times New Roman"/>
          <w:lang w:val="en-US" w:eastAsia="zh-CN"/>
        </w:rPr>
        <w:t>上升</w:t>
      </w:r>
      <w:r>
        <w:rPr>
          <w:rFonts w:hint="eastAsia" w:ascii="Times New Roman" w:hAnsi="Times New Roman"/>
          <w:lang w:val="en-US" w:eastAsia="zh-CN"/>
        </w:rPr>
        <w:t>25</w:t>
      </w:r>
      <w:r>
        <w:rPr>
          <w:rFonts w:hint="eastAsia" w:hAnsi="Times New Roman"/>
        </w:rPr>
        <w:t>%</w:t>
      </w:r>
      <w:r>
        <w:rPr>
          <w:rFonts w:hAnsi="Times New Roman"/>
        </w:rPr>
        <w:t>；结案率为</w:t>
      </w:r>
      <w:r>
        <w:rPr>
          <w:rFonts w:hint="eastAsia" w:ascii="Times New Roman" w:hAnsi="Times New Roman"/>
          <w:lang w:val="en-US" w:eastAsia="zh-CN"/>
        </w:rPr>
        <w:t>100</w:t>
      </w:r>
      <w:r>
        <w:rPr>
          <w:rFonts w:hAnsi="Times New Roman"/>
        </w:rPr>
        <w:t>%，同比</w:t>
      </w:r>
      <w:r>
        <w:rPr>
          <w:rFonts w:hint="eastAsia" w:hAnsi="Times New Roman"/>
          <w:lang w:val="en-US" w:eastAsia="zh-CN"/>
        </w:rPr>
        <w:t>无变化</w:t>
      </w:r>
      <w:r>
        <w:rPr>
          <w:rFonts w:hAnsi="Times New Roman"/>
        </w:rPr>
        <w:t>。已结案件中，结案方式</w:t>
      </w:r>
      <w:r>
        <w:rPr>
          <w:rFonts w:hint="eastAsia" w:hAnsi="Times New Roman"/>
          <w:lang w:val="en-US" w:eastAsia="zh-CN"/>
        </w:rPr>
        <w:t>均</w:t>
      </w:r>
      <w:r>
        <w:rPr>
          <w:rFonts w:hAnsi="Times New Roman"/>
        </w:rPr>
        <w:t>为判决。</w:t>
      </w:r>
    </w:p>
    <w:p>
      <w:pPr>
        <w:snapToGrid w:val="0"/>
        <w:spacing w:line="360" w:lineRule="auto"/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  <w:b/>
          <w:bCs/>
          <w:kern w:val="0"/>
          <w:lang w:val="en-US" w:eastAsia="zh-CN"/>
        </w:rPr>
        <w:t>白城铁路运输</w:t>
      </w:r>
      <w:r>
        <w:rPr>
          <w:rFonts w:ascii="Times New Roman" w:hAnsi="Times New Roman"/>
          <w:b/>
          <w:bCs/>
          <w:kern w:val="0"/>
        </w:rPr>
        <w:t>法院刑事案件列表</w:t>
      </w:r>
    </w:p>
    <w:tbl>
      <w:tblPr>
        <w:tblStyle w:val="10"/>
        <w:tblW w:w="9526" w:type="dxa"/>
        <w:tblInd w:w="-39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273"/>
        <w:gridCol w:w="722"/>
        <w:gridCol w:w="520"/>
        <w:gridCol w:w="520"/>
        <w:gridCol w:w="638"/>
        <w:gridCol w:w="860"/>
        <w:gridCol w:w="964"/>
        <w:gridCol w:w="1120"/>
        <w:gridCol w:w="9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5" w:hRule="atLeast"/>
        </w:trPr>
        <w:tc>
          <w:tcPr>
            <w:tcW w:w="9526" w:type="dxa"/>
            <w:gridSpan w:val="9"/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统计日期:2016-01-01到2016-1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-3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单位: 件、天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6" w:hRule="atLeast"/>
        </w:trPr>
        <w:tc>
          <w:tcPr>
            <w:tcW w:w="3273" w:type="dxa"/>
            <w:vMerge w:val="restart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法院</w:t>
            </w:r>
          </w:p>
        </w:tc>
        <w:tc>
          <w:tcPr>
            <w:tcW w:w="722" w:type="dxa"/>
            <w:vMerge w:val="restart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  <w:szCs w:val="24"/>
              </w:rPr>
              <w:t>立案数</w:t>
            </w:r>
          </w:p>
        </w:tc>
        <w:tc>
          <w:tcPr>
            <w:tcW w:w="1678" w:type="dxa"/>
            <w:gridSpan w:val="3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结案数</w:t>
            </w:r>
          </w:p>
        </w:tc>
        <w:tc>
          <w:tcPr>
            <w:tcW w:w="860" w:type="dxa"/>
            <w:vMerge w:val="restart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结案率</w:t>
            </w:r>
          </w:p>
        </w:tc>
        <w:tc>
          <w:tcPr>
            <w:tcW w:w="964" w:type="dxa"/>
            <w:vMerge w:val="restart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平均审期</w:t>
            </w:r>
          </w:p>
        </w:tc>
        <w:tc>
          <w:tcPr>
            <w:tcW w:w="1120" w:type="dxa"/>
            <w:vMerge w:val="restart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上诉案件数</w:t>
            </w:r>
          </w:p>
        </w:tc>
        <w:tc>
          <w:tcPr>
            <w:tcW w:w="909" w:type="dxa"/>
            <w:vMerge w:val="restart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上诉率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3273" w:type="dxa"/>
            <w:vMerge w:val="continue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判决</w:t>
            </w:r>
          </w:p>
        </w:tc>
        <w:tc>
          <w:tcPr>
            <w:tcW w:w="5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  <w:szCs w:val="24"/>
              </w:rPr>
              <w:t>终止</w:t>
            </w:r>
          </w:p>
        </w:tc>
        <w:tc>
          <w:tcPr>
            <w:tcW w:w="63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860" w:type="dxa"/>
            <w:vMerge w:val="continue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Merge w:val="continue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Merge w:val="continue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vMerge w:val="continue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4" w:hRule="atLeast"/>
        </w:trPr>
        <w:tc>
          <w:tcPr>
            <w:tcW w:w="3273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白城铁路运输法院</w:t>
            </w:r>
          </w:p>
        </w:tc>
        <w:tc>
          <w:tcPr>
            <w:tcW w:w="72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63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8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100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96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00%</w:t>
            </w:r>
          </w:p>
        </w:tc>
      </w:tr>
    </w:tbl>
    <w:p>
      <w:pPr>
        <w:spacing w:line="360" w:lineRule="auto"/>
        <w:ind w:firstLine="640" w:firstLineChars="200"/>
        <w:rPr>
          <w:rFonts w:hAnsi="Times New Roman"/>
        </w:rPr>
      </w:pPr>
    </w:p>
    <w:p>
      <w:pPr>
        <w:spacing w:line="360" w:lineRule="auto"/>
        <w:ind w:firstLine="640" w:firstLineChars="200"/>
        <w:rPr>
          <w:rFonts w:hAnsi="Times New Roman"/>
        </w:rPr>
      </w:pPr>
      <w:r>
        <w:rPr>
          <w:rFonts w:hAnsi="Times New Roman"/>
        </w:rPr>
        <w:t>受理的</w:t>
      </w:r>
      <w:r>
        <w:rPr>
          <w:rFonts w:hint="eastAsia" w:ascii="Times New Roman" w:hAnsi="Times New Roman"/>
          <w:lang w:val="en-US" w:eastAsia="zh-CN"/>
        </w:rPr>
        <w:t>15</w:t>
      </w:r>
      <w:r>
        <w:rPr>
          <w:rFonts w:hAnsi="Times New Roman"/>
        </w:rPr>
        <w:t>件刑事案件中，危害公共安全罪</w:t>
      </w:r>
      <w:r>
        <w:rPr>
          <w:rFonts w:ascii="Times New Roman" w:hAnsi="Times New Roman"/>
        </w:rPr>
        <w:t>0</w:t>
      </w:r>
      <w:r>
        <w:rPr>
          <w:rFonts w:hAnsi="Times New Roman"/>
        </w:rPr>
        <w:t>件，破坏社会主义市场经济秩序罪</w:t>
      </w:r>
      <w:r>
        <w:rPr>
          <w:rFonts w:hint="eastAsia" w:hAnsi="Times New Roman"/>
          <w:lang w:val="en-US" w:eastAsia="zh-CN"/>
        </w:rPr>
        <w:t>0</w:t>
      </w:r>
      <w:r>
        <w:rPr>
          <w:rFonts w:hAnsi="Times New Roman"/>
        </w:rPr>
        <w:t>件，侵犯公民人身权利、民主权利罪</w:t>
      </w:r>
      <w:r>
        <w:rPr>
          <w:rFonts w:hint="eastAsia" w:hAnsi="Times New Roman"/>
          <w:lang w:val="en-US" w:eastAsia="zh-CN"/>
        </w:rPr>
        <w:t>2</w:t>
      </w:r>
      <w:r>
        <w:rPr>
          <w:rFonts w:hAnsi="Times New Roman"/>
        </w:rPr>
        <w:t>件，侵犯财产罪</w:t>
      </w:r>
      <w:r>
        <w:rPr>
          <w:rFonts w:hint="eastAsia" w:hAnsi="Times New Roman"/>
          <w:lang w:val="en-US" w:eastAsia="zh-CN"/>
        </w:rPr>
        <w:t>11</w:t>
      </w:r>
      <w:r>
        <w:rPr>
          <w:rFonts w:hAnsi="Times New Roman"/>
        </w:rPr>
        <w:t>件，妨害社会管理秩序罪</w:t>
      </w:r>
      <w:r>
        <w:rPr>
          <w:rFonts w:hint="eastAsia" w:hAnsi="Times New Roman"/>
          <w:lang w:val="en-US" w:eastAsia="zh-CN"/>
        </w:rPr>
        <w:t>1</w:t>
      </w:r>
      <w:r>
        <w:rPr>
          <w:rFonts w:hAnsi="Times New Roman"/>
        </w:rPr>
        <w:t>件，贪污贿赂罪</w:t>
      </w:r>
      <w:r>
        <w:rPr>
          <w:rFonts w:ascii="Times New Roman" w:hAnsi="Times New Roman"/>
        </w:rPr>
        <w:t>1</w:t>
      </w:r>
      <w:r>
        <w:rPr>
          <w:rFonts w:hAnsi="Times New Roman"/>
        </w:rPr>
        <w:t>件。</w:t>
      </w:r>
    </w:p>
    <w:p>
      <w:pPr>
        <w:spacing w:line="360" w:lineRule="auto"/>
        <w:ind w:firstLine="643" w:firstLineChars="200"/>
        <w:jc w:val="left"/>
        <w:rPr>
          <w:rFonts w:ascii="楷体" w:hAnsi="楷体" w:eastAsia="楷体"/>
          <w:b/>
        </w:rPr>
      </w:pPr>
      <w:r>
        <w:rPr>
          <w:rFonts w:ascii="楷体" w:hAnsi="楷体" w:eastAsia="楷体"/>
          <w:b/>
        </w:rPr>
        <w:t>（二）民商事案件</w:t>
      </w:r>
    </w:p>
    <w:p>
      <w:pPr>
        <w:spacing w:line="360" w:lineRule="auto"/>
        <w:ind w:firstLine="640" w:firstLineChars="200"/>
        <w:rPr>
          <w:rFonts w:hAnsi="Times New Roman"/>
        </w:rPr>
      </w:pPr>
      <w:r>
        <w:rPr>
          <w:rFonts w:hint="eastAsia" w:hAnsi="Times New Roman"/>
          <w:lang w:val="en-US" w:eastAsia="zh-CN"/>
        </w:rPr>
        <w:t>白城铁路运输</w:t>
      </w:r>
      <w:r>
        <w:rPr>
          <w:rFonts w:hint="eastAsia" w:hAnsi="Times New Roman"/>
        </w:rPr>
        <w:t>法院共受理民事案件</w:t>
      </w:r>
      <w:r>
        <w:rPr>
          <w:rFonts w:hint="eastAsia" w:hAnsi="Times New Roman"/>
          <w:lang w:val="en-US" w:eastAsia="zh-CN"/>
        </w:rPr>
        <w:t>8</w:t>
      </w:r>
      <w:r>
        <w:rPr>
          <w:rFonts w:hint="eastAsia" w:hAnsi="Times New Roman"/>
        </w:rPr>
        <w:t>件。其中，旧存</w:t>
      </w:r>
      <w:r>
        <w:rPr>
          <w:rFonts w:hint="eastAsia" w:hAnsi="Times New Roman"/>
          <w:lang w:val="en-US" w:eastAsia="zh-CN"/>
        </w:rPr>
        <w:t>0</w:t>
      </w:r>
      <w:r>
        <w:rPr>
          <w:rFonts w:hint="eastAsia" w:hAnsi="Times New Roman"/>
        </w:rPr>
        <w:t>件；新收</w:t>
      </w:r>
      <w:r>
        <w:rPr>
          <w:rFonts w:hint="eastAsia" w:ascii="Times New Roman" w:hAnsi="Times New Roman"/>
          <w:lang w:val="en-US" w:eastAsia="zh-CN"/>
        </w:rPr>
        <w:t>8</w:t>
      </w:r>
      <w:r>
        <w:rPr>
          <w:rFonts w:hint="eastAsia" w:hAnsi="Times New Roman"/>
        </w:rPr>
        <w:t>件，同比减少</w:t>
      </w:r>
      <w:r>
        <w:rPr>
          <w:rFonts w:hint="eastAsia" w:ascii="Times New Roman" w:hAnsi="Times New Roman"/>
          <w:lang w:val="en-US" w:eastAsia="zh-CN"/>
        </w:rPr>
        <w:t>6</w:t>
      </w:r>
      <w:r>
        <w:rPr>
          <w:rFonts w:hint="eastAsia" w:hAnsi="Times New Roman"/>
        </w:rPr>
        <w:t>件，下降</w:t>
      </w:r>
      <w:r>
        <w:rPr>
          <w:rFonts w:hint="eastAsia" w:ascii="Times New Roman" w:hAnsi="Times New Roman"/>
          <w:lang w:val="en-US" w:eastAsia="zh-CN"/>
        </w:rPr>
        <w:t>42.86</w:t>
      </w:r>
      <w:r>
        <w:rPr>
          <w:rFonts w:hint="eastAsia" w:hAnsi="Times New Roman"/>
        </w:rPr>
        <w:t>%；审结</w:t>
      </w:r>
      <w:r>
        <w:rPr>
          <w:rFonts w:hint="eastAsia" w:ascii="Times New Roman" w:hAnsi="Times New Roman"/>
          <w:lang w:val="en-US" w:eastAsia="zh-CN"/>
        </w:rPr>
        <w:t>8</w:t>
      </w:r>
      <w:r>
        <w:rPr>
          <w:rFonts w:hint="eastAsia" w:hAnsi="Times New Roman"/>
        </w:rPr>
        <w:t>件，同比减少</w:t>
      </w:r>
      <w:r>
        <w:rPr>
          <w:rFonts w:hint="eastAsia" w:ascii="Times New Roman" w:hAnsi="Times New Roman"/>
          <w:lang w:val="en-US" w:eastAsia="zh-CN"/>
        </w:rPr>
        <w:t>6</w:t>
      </w:r>
      <w:r>
        <w:rPr>
          <w:rFonts w:hint="eastAsia" w:hAnsi="Times New Roman"/>
        </w:rPr>
        <w:t>件，下降</w:t>
      </w:r>
      <w:r>
        <w:rPr>
          <w:rFonts w:hint="eastAsia" w:ascii="Times New Roman" w:hAnsi="Times New Roman"/>
          <w:lang w:val="en-US" w:eastAsia="zh-CN"/>
        </w:rPr>
        <w:t>42.86</w:t>
      </w:r>
      <w:r>
        <w:rPr>
          <w:rFonts w:hint="eastAsia" w:hAnsi="Times New Roman"/>
        </w:rPr>
        <w:t>%；结案率为</w:t>
      </w:r>
      <w:r>
        <w:rPr>
          <w:rFonts w:hint="eastAsia" w:ascii="Times New Roman" w:hAnsi="Times New Roman"/>
          <w:lang w:val="en-US" w:eastAsia="zh-CN"/>
        </w:rPr>
        <w:t>100</w:t>
      </w:r>
      <w:r>
        <w:rPr>
          <w:rFonts w:hint="eastAsia" w:hAnsi="Times New Roman"/>
        </w:rPr>
        <w:t>%，同比</w:t>
      </w:r>
      <w:r>
        <w:rPr>
          <w:rFonts w:hint="eastAsia" w:hAnsi="Times New Roman"/>
          <w:lang w:val="en-US" w:eastAsia="zh-CN"/>
        </w:rPr>
        <w:t>无变化</w:t>
      </w:r>
      <w:r>
        <w:rPr>
          <w:rFonts w:hint="eastAsia" w:hAnsi="Times New Roman"/>
        </w:rPr>
        <w:t>。</w:t>
      </w:r>
      <w:r>
        <w:rPr>
          <w:rFonts w:hAnsi="Times New Roman"/>
        </w:rPr>
        <w:t>已结</w:t>
      </w:r>
      <w:r>
        <w:rPr>
          <w:rFonts w:hint="eastAsia" w:ascii="Times New Roman" w:hAnsi="Times New Roman"/>
          <w:lang w:val="en-US" w:eastAsia="zh-CN"/>
        </w:rPr>
        <w:t>8</w:t>
      </w:r>
      <w:r>
        <w:rPr>
          <w:rFonts w:hint="eastAsia" w:hAnsi="Times New Roman"/>
        </w:rPr>
        <w:t>件</w:t>
      </w:r>
      <w:r>
        <w:rPr>
          <w:rFonts w:hAnsi="Times New Roman"/>
        </w:rPr>
        <w:t>案件中，结案方式为判决的</w:t>
      </w:r>
      <w:r>
        <w:rPr>
          <w:rFonts w:ascii="Times New Roman" w:hAnsi="Times New Roman"/>
        </w:rPr>
        <w:t>4</w:t>
      </w:r>
      <w:r>
        <w:rPr>
          <w:rFonts w:hAnsi="Times New Roman"/>
        </w:rPr>
        <w:t>件</w:t>
      </w:r>
      <w:r>
        <w:rPr>
          <w:rFonts w:hint="eastAsia" w:hAnsi="Times New Roman"/>
        </w:rPr>
        <w:t>，判决率为</w:t>
      </w:r>
      <w:r>
        <w:rPr>
          <w:rFonts w:hint="eastAsia" w:ascii="Times New Roman" w:hAnsi="Times New Roman"/>
          <w:lang w:val="en-US" w:eastAsia="zh-CN"/>
        </w:rPr>
        <w:t>50</w:t>
      </w:r>
      <w:r>
        <w:rPr>
          <w:rFonts w:hint="eastAsia" w:hAnsi="Times New Roman"/>
        </w:rPr>
        <w:t>%</w:t>
      </w:r>
      <w:r>
        <w:rPr>
          <w:rFonts w:hAnsi="Times New Roman"/>
        </w:rPr>
        <w:t>；撤诉的</w:t>
      </w:r>
      <w:r>
        <w:rPr>
          <w:rFonts w:hint="eastAsia" w:hAnsi="Times New Roman"/>
          <w:lang w:val="en-US" w:eastAsia="zh-CN"/>
        </w:rPr>
        <w:t>2</w:t>
      </w:r>
      <w:r>
        <w:rPr>
          <w:rFonts w:hAnsi="Times New Roman"/>
        </w:rPr>
        <w:t>件，撤诉率为</w:t>
      </w:r>
      <w:r>
        <w:rPr>
          <w:rFonts w:hint="eastAsia" w:ascii="Times New Roman" w:hAnsi="Times New Roman"/>
          <w:lang w:val="en-US" w:eastAsia="zh-CN"/>
        </w:rPr>
        <w:t>25</w:t>
      </w:r>
      <w:r>
        <w:rPr>
          <w:rFonts w:hAnsi="Times New Roman"/>
        </w:rPr>
        <w:t>%；调解的</w:t>
      </w:r>
      <w:r>
        <w:rPr>
          <w:rFonts w:hint="eastAsia" w:ascii="Times New Roman" w:hAnsi="Times New Roman"/>
          <w:lang w:val="en-US" w:eastAsia="zh-CN"/>
        </w:rPr>
        <w:t>2</w:t>
      </w:r>
      <w:r>
        <w:rPr>
          <w:rFonts w:hAnsi="Times New Roman"/>
        </w:rPr>
        <w:t>件，调解率为</w:t>
      </w:r>
      <w:r>
        <w:rPr>
          <w:rFonts w:hint="eastAsia" w:ascii="Times New Roman" w:hAnsi="Times New Roman"/>
          <w:lang w:val="en-US" w:eastAsia="zh-CN"/>
        </w:rPr>
        <w:t>25</w:t>
      </w:r>
      <w:r>
        <w:rPr>
          <w:rFonts w:hAnsi="Times New Roman"/>
        </w:rPr>
        <w:t>%；</w:t>
      </w:r>
      <w:r>
        <w:rPr>
          <w:rFonts w:hint="eastAsia" w:hAnsi="Times New Roman"/>
        </w:rPr>
        <w:t>上诉</w:t>
      </w:r>
      <w:r>
        <w:rPr>
          <w:rFonts w:hint="eastAsia" w:hAnsi="Times New Roman"/>
          <w:lang w:val="en-US" w:eastAsia="zh-CN"/>
        </w:rPr>
        <w:t>2</w:t>
      </w:r>
      <w:r>
        <w:rPr>
          <w:rFonts w:hint="eastAsia" w:hAnsi="Times New Roman"/>
        </w:rPr>
        <w:t>件</w:t>
      </w:r>
      <w:r>
        <w:rPr>
          <w:rFonts w:hAnsi="Times New Roman"/>
        </w:rPr>
        <w:t>，上诉率</w:t>
      </w:r>
      <w:r>
        <w:rPr>
          <w:rFonts w:hint="eastAsia" w:hAnsi="Times New Roman"/>
          <w:lang w:val="en-US" w:eastAsia="zh-CN"/>
        </w:rPr>
        <w:t>25</w:t>
      </w:r>
      <w:r>
        <w:rPr>
          <w:rFonts w:hAnsi="Times New Roman"/>
        </w:rPr>
        <w:t>%</w:t>
      </w:r>
      <w:r>
        <w:rPr>
          <w:rFonts w:hint="eastAsia" w:hAnsi="Times New Roman"/>
        </w:rPr>
        <w:t>。</w:t>
      </w:r>
    </w:p>
    <w:p>
      <w:pPr>
        <w:spacing w:line="360" w:lineRule="auto"/>
        <w:ind w:firstLine="640" w:firstLineChars="200"/>
        <w:rPr>
          <w:rFonts w:hAnsi="Times New Roman"/>
        </w:rPr>
      </w:pPr>
    </w:p>
    <w:p>
      <w:pPr>
        <w:snapToGrid w:val="0"/>
        <w:spacing w:line="360" w:lineRule="auto"/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  <w:b/>
          <w:bCs/>
          <w:kern w:val="0"/>
          <w:lang w:val="en-US" w:eastAsia="zh-CN"/>
        </w:rPr>
        <w:t>白城铁路运输</w:t>
      </w:r>
      <w:r>
        <w:rPr>
          <w:rFonts w:ascii="Times New Roman" w:hAnsi="Times New Roman"/>
          <w:b/>
          <w:bCs/>
          <w:kern w:val="0"/>
        </w:rPr>
        <w:t>法院民事案件列表</w:t>
      </w:r>
    </w:p>
    <w:tbl>
      <w:tblPr>
        <w:tblStyle w:val="10"/>
        <w:tblW w:w="1102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440"/>
        <w:gridCol w:w="537"/>
        <w:gridCol w:w="407"/>
        <w:gridCol w:w="387"/>
        <w:gridCol w:w="420"/>
        <w:gridCol w:w="415"/>
        <w:gridCol w:w="763"/>
        <w:gridCol w:w="783"/>
        <w:gridCol w:w="1098"/>
        <w:gridCol w:w="818"/>
        <w:gridCol w:w="1140"/>
        <w:gridCol w:w="957"/>
        <w:gridCol w:w="8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5" w:hRule="atLeast"/>
          <w:jc w:val="center"/>
        </w:trPr>
        <w:tc>
          <w:tcPr>
            <w:tcW w:w="11025" w:type="dxa"/>
            <w:gridSpan w:val="13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统计日期:2016-01-01到2016-1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-3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单位: 件、天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6" w:hRule="atLeast"/>
          <w:jc w:val="center"/>
        </w:trPr>
        <w:tc>
          <w:tcPr>
            <w:tcW w:w="2440" w:type="dxa"/>
            <w:vMerge w:val="restart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法院</w:t>
            </w:r>
          </w:p>
        </w:tc>
        <w:tc>
          <w:tcPr>
            <w:tcW w:w="537" w:type="dxa"/>
            <w:vMerge w:val="restart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立案数</w:t>
            </w:r>
          </w:p>
        </w:tc>
        <w:tc>
          <w:tcPr>
            <w:tcW w:w="3175" w:type="dxa"/>
            <w:gridSpan w:val="6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结案数</w:t>
            </w:r>
          </w:p>
        </w:tc>
        <w:tc>
          <w:tcPr>
            <w:tcW w:w="1098" w:type="dxa"/>
            <w:vMerge w:val="restart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结案率</w:t>
            </w:r>
          </w:p>
        </w:tc>
        <w:tc>
          <w:tcPr>
            <w:tcW w:w="818" w:type="dxa"/>
            <w:vMerge w:val="restart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平均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审期</w:t>
            </w:r>
          </w:p>
        </w:tc>
        <w:tc>
          <w:tcPr>
            <w:tcW w:w="1140" w:type="dxa"/>
            <w:vMerge w:val="restart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调撤率</w:t>
            </w:r>
          </w:p>
        </w:tc>
        <w:tc>
          <w:tcPr>
            <w:tcW w:w="957" w:type="dxa"/>
            <w:vMerge w:val="restart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上诉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案件数</w:t>
            </w:r>
          </w:p>
        </w:tc>
        <w:tc>
          <w:tcPr>
            <w:tcW w:w="860" w:type="dxa"/>
            <w:vMerge w:val="restart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上诉率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  <w:jc w:val="center"/>
        </w:trPr>
        <w:tc>
          <w:tcPr>
            <w:tcW w:w="2440" w:type="dxa"/>
            <w:vMerge w:val="continue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判决</w:t>
            </w:r>
          </w:p>
        </w:tc>
        <w:tc>
          <w:tcPr>
            <w:tcW w:w="38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调解</w:t>
            </w:r>
          </w:p>
        </w:tc>
        <w:tc>
          <w:tcPr>
            <w:tcW w:w="4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撤诉</w:t>
            </w:r>
          </w:p>
        </w:tc>
        <w:tc>
          <w:tcPr>
            <w:tcW w:w="41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移送</w:t>
            </w:r>
          </w:p>
        </w:tc>
        <w:tc>
          <w:tcPr>
            <w:tcW w:w="763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  <w:szCs w:val="24"/>
              </w:rPr>
              <w:t>按撤诉处理</w:t>
            </w:r>
          </w:p>
        </w:tc>
        <w:tc>
          <w:tcPr>
            <w:tcW w:w="783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  <w:szCs w:val="24"/>
              </w:rPr>
              <w:t>驳回起诉</w:t>
            </w:r>
          </w:p>
        </w:tc>
        <w:tc>
          <w:tcPr>
            <w:tcW w:w="1098" w:type="dxa"/>
            <w:vMerge w:val="continue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 w:val="continue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4" w:hRule="atLeast"/>
          <w:jc w:val="center"/>
        </w:trPr>
        <w:tc>
          <w:tcPr>
            <w:tcW w:w="2440" w:type="dxa"/>
            <w:tcBorders>
              <w:bottom w:val="single" w:color="000000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白城铁路运输法院</w:t>
            </w:r>
          </w:p>
        </w:tc>
        <w:tc>
          <w:tcPr>
            <w:tcW w:w="537" w:type="dxa"/>
            <w:tcBorders>
              <w:bottom w:val="single" w:color="000000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07" w:type="dxa"/>
            <w:tcBorders>
              <w:bottom w:val="single" w:color="000000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bottom w:val="single" w:color="000000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bottom w:val="single" w:color="000000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5" w:type="dxa"/>
            <w:tcBorders>
              <w:bottom w:val="single" w:color="000000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bottom w:val="single" w:color="000000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bottom w:val="single" w:color="000000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bottom w:val="single" w:color="000000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818" w:type="dxa"/>
            <w:tcBorders>
              <w:bottom w:val="single" w:color="000000" w:sz="6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4.5</w:t>
            </w:r>
          </w:p>
        </w:tc>
        <w:tc>
          <w:tcPr>
            <w:tcW w:w="1140" w:type="dxa"/>
            <w:tcBorders>
              <w:bottom w:val="single" w:color="000000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50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957" w:type="dxa"/>
            <w:tcBorders>
              <w:bottom w:val="single" w:color="000000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bottom w:val="single" w:color="000000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%</w:t>
            </w:r>
          </w:p>
        </w:tc>
      </w:tr>
    </w:tbl>
    <w:p>
      <w:pPr>
        <w:snapToGrid w:val="0"/>
        <w:spacing w:line="360" w:lineRule="auto"/>
        <w:ind w:firstLine="810" w:firstLineChars="253"/>
        <w:rPr>
          <w:rFonts w:ascii="Times New Roman" w:hAnsi="Times New Roman"/>
        </w:rPr>
      </w:pPr>
    </w:p>
    <w:p>
      <w:pPr>
        <w:spacing w:line="360" w:lineRule="auto"/>
        <w:ind w:firstLine="640" w:firstLineChars="200"/>
        <w:rPr>
          <w:rFonts w:hAnsi="Times New Roman"/>
        </w:rPr>
      </w:pPr>
      <w:r>
        <w:rPr>
          <w:rFonts w:hint="eastAsia" w:hAnsi="Times New Roman"/>
        </w:rPr>
        <w:t>审理</w:t>
      </w:r>
      <w:r>
        <w:rPr>
          <w:rFonts w:hAnsi="Times New Roman"/>
        </w:rPr>
        <w:t>的</w:t>
      </w:r>
      <w:r>
        <w:rPr>
          <w:rFonts w:hint="eastAsia" w:ascii="Times New Roman" w:hAnsi="Times New Roman"/>
          <w:lang w:val="en-US" w:eastAsia="zh-CN"/>
        </w:rPr>
        <w:t>8</w:t>
      </w:r>
      <w:r>
        <w:rPr>
          <w:rFonts w:hAnsi="Times New Roman"/>
        </w:rPr>
        <w:t>件民事案件中</w:t>
      </w:r>
      <w:r>
        <w:rPr>
          <w:rFonts w:hint="eastAsia" w:hAnsi="Times New Roman"/>
        </w:rPr>
        <w:t>，</w:t>
      </w:r>
      <w:r>
        <w:rPr>
          <w:rFonts w:hAnsi="Times New Roman"/>
        </w:rPr>
        <w:t>物权纠纷</w:t>
      </w:r>
      <w:r>
        <w:rPr>
          <w:rFonts w:hint="eastAsia" w:ascii="Times New Roman" w:hAnsi="Times New Roman"/>
          <w:lang w:val="en-US" w:eastAsia="zh-CN"/>
        </w:rPr>
        <w:t>4</w:t>
      </w:r>
      <w:r>
        <w:rPr>
          <w:rFonts w:hAnsi="Times New Roman"/>
        </w:rPr>
        <w:t>件，合同纠纷</w:t>
      </w:r>
      <w:r>
        <w:rPr>
          <w:rFonts w:hint="eastAsia" w:ascii="Times New Roman" w:hAnsi="Times New Roman"/>
          <w:lang w:val="en-US" w:eastAsia="zh-CN"/>
        </w:rPr>
        <w:t>4</w:t>
      </w:r>
      <w:r>
        <w:rPr>
          <w:rFonts w:hint="eastAsia" w:hAnsi="Times New Roman"/>
        </w:rPr>
        <w:t>件，劳动争议、人事争议</w:t>
      </w:r>
      <w:r>
        <w:rPr>
          <w:rFonts w:hint="eastAsia" w:ascii="Times New Roman" w:hAnsi="Times New Roman"/>
          <w:lang w:val="en-US" w:eastAsia="zh-CN"/>
        </w:rPr>
        <w:t>0</w:t>
      </w:r>
      <w:r>
        <w:rPr>
          <w:rFonts w:hint="eastAsia" w:hAnsi="Times New Roman"/>
        </w:rPr>
        <w:t>件，侵权责任纠纷</w:t>
      </w:r>
      <w:r>
        <w:rPr>
          <w:rFonts w:hint="eastAsia" w:ascii="Times New Roman" w:hAnsi="Times New Roman"/>
          <w:lang w:val="en-US" w:eastAsia="zh-CN"/>
        </w:rPr>
        <w:t>0</w:t>
      </w:r>
      <w:r>
        <w:rPr>
          <w:rFonts w:hint="eastAsia" w:hAnsi="Times New Roman"/>
        </w:rPr>
        <w:t>件。</w:t>
      </w:r>
    </w:p>
    <w:p>
      <w:pPr>
        <w:spacing w:line="360" w:lineRule="auto"/>
        <w:ind w:firstLine="645"/>
        <w:rPr>
          <w:rFonts w:ascii="楷体" w:hAnsi="楷体" w:eastAsia="楷体"/>
          <w:b/>
        </w:rPr>
      </w:pPr>
      <w:r>
        <w:rPr>
          <w:rFonts w:ascii="楷体" w:hAnsi="楷体" w:eastAsia="楷体"/>
          <w:b/>
        </w:rPr>
        <w:t>（三）执行案件</w:t>
      </w:r>
    </w:p>
    <w:p>
      <w:pPr>
        <w:spacing w:line="360" w:lineRule="auto"/>
        <w:ind w:firstLine="640" w:firstLineChars="200"/>
        <w:rPr>
          <w:rFonts w:hAnsi="Times New Roman"/>
        </w:rPr>
      </w:pPr>
      <w:r>
        <w:rPr>
          <w:rFonts w:hint="eastAsia" w:hAnsi="Times New Roman"/>
          <w:lang w:val="en-US" w:eastAsia="zh-CN"/>
        </w:rPr>
        <w:t>白城铁路运输</w:t>
      </w:r>
      <w:r>
        <w:rPr>
          <w:rFonts w:hAnsi="Times New Roman"/>
        </w:rPr>
        <w:t>法院共受理执行案件</w:t>
      </w:r>
      <w:r>
        <w:rPr>
          <w:rFonts w:hint="eastAsia" w:ascii="Times New Roman" w:hAnsi="Times New Roman"/>
          <w:lang w:val="en-US" w:eastAsia="zh-CN"/>
        </w:rPr>
        <w:t>8</w:t>
      </w:r>
      <w:r>
        <w:rPr>
          <w:rFonts w:hAnsi="Times New Roman"/>
        </w:rPr>
        <w:t>件（含旧存</w:t>
      </w:r>
      <w:r>
        <w:rPr>
          <w:rFonts w:hint="eastAsia" w:ascii="Times New Roman" w:hAnsi="Times New Roman"/>
          <w:lang w:val="en-US" w:eastAsia="zh-CN"/>
        </w:rPr>
        <w:t>1</w:t>
      </w:r>
      <w:r>
        <w:rPr>
          <w:rFonts w:hAnsi="Times New Roman"/>
        </w:rPr>
        <w:t>件，新收</w:t>
      </w:r>
      <w:r>
        <w:rPr>
          <w:rFonts w:ascii="Times New Roman" w:hAnsi="Times New Roman"/>
        </w:rPr>
        <w:t>7</w:t>
      </w:r>
      <w:r>
        <w:rPr>
          <w:rFonts w:hAnsi="Times New Roman"/>
        </w:rPr>
        <w:t>件），</w:t>
      </w:r>
      <w:r>
        <w:rPr>
          <w:rFonts w:hint="eastAsia" w:hAnsi="Times New Roman"/>
        </w:rPr>
        <w:t>同比增长</w:t>
      </w:r>
      <w:r>
        <w:rPr>
          <w:rFonts w:hint="eastAsia" w:ascii="Times New Roman" w:hAnsi="Times New Roman"/>
          <w:lang w:val="en-US" w:eastAsia="zh-CN"/>
        </w:rPr>
        <w:t>7</w:t>
      </w:r>
      <w:r>
        <w:rPr>
          <w:rFonts w:hint="eastAsia" w:hAnsi="Times New Roman"/>
        </w:rPr>
        <w:t>件，上升</w:t>
      </w:r>
      <w:r>
        <w:rPr>
          <w:rFonts w:hint="eastAsia" w:ascii="Times New Roman" w:hAnsi="Times New Roman"/>
          <w:lang w:val="en-US" w:eastAsia="zh-CN"/>
        </w:rPr>
        <w:t>700</w:t>
      </w:r>
      <w:r>
        <w:rPr>
          <w:rFonts w:hint="eastAsia" w:hAnsi="Times New Roman"/>
        </w:rPr>
        <w:t>%，共</w:t>
      </w:r>
      <w:r>
        <w:rPr>
          <w:rFonts w:hAnsi="Times New Roman"/>
        </w:rPr>
        <w:t>执结</w:t>
      </w:r>
      <w:r>
        <w:rPr>
          <w:rFonts w:ascii="Times New Roman" w:hAnsi="Times New Roman"/>
        </w:rPr>
        <w:t>7</w:t>
      </w:r>
      <w:r>
        <w:rPr>
          <w:rFonts w:hAnsi="Times New Roman"/>
        </w:rPr>
        <w:t>件，执结率为</w:t>
      </w:r>
      <w:r>
        <w:rPr>
          <w:rFonts w:hint="eastAsia" w:ascii="Times New Roman" w:hAnsi="Times New Roman"/>
          <w:lang w:val="en-US" w:eastAsia="zh-CN"/>
        </w:rPr>
        <w:t>87.5</w:t>
      </w:r>
      <w:r>
        <w:rPr>
          <w:rFonts w:hAnsi="Times New Roman"/>
        </w:rPr>
        <w:t>%</w:t>
      </w:r>
      <w:r>
        <w:rPr>
          <w:rFonts w:hint="eastAsia" w:hAnsi="Times New Roman"/>
        </w:rPr>
        <w:t>，同比上升</w:t>
      </w:r>
      <w:r>
        <w:rPr>
          <w:rFonts w:hint="eastAsia" w:ascii="Times New Roman" w:hAnsi="Times New Roman"/>
          <w:lang w:val="en-US" w:eastAsia="zh-CN"/>
        </w:rPr>
        <w:t>87.5</w:t>
      </w:r>
      <w:r>
        <w:rPr>
          <w:rFonts w:hint="eastAsia" w:hAnsi="Times New Roman"/>
        </w:rPr>
        <w:t>个百分点</w:t>
      </w:r>
      <w:r>
        <w:rPr>
          <w:rFonts w:hAnsi="Times New Roman"/>
        </w:rPr>
        <w:t>。</w:t>
      </w:r>
    </w:p>
    <w:p>
      <w:pPr>
        <w:spacing w:line="360" w:lineRule="auto"/>
        <w:ind w:firstLine="640" w:firstLineChars="200"/>
        <w:rPr>
          <w:rFonts w:hAnsi="Times New Roman"/>
        </w:rPr>
      </w:pPr>
    </w:p>
    <w:p>
      <w:pPr>
        <w:spacing w:line="360" w:lineRule="auto"/>
        <w:ind w:firstLine="640" w:firstLineChars="200"/>
        <w:rPr>
          <w:rFonts w:hAnsi="Times New Roman"/>
        </w:rPr>
      </w:pPr>
    </w:p>
    <w:p>
      <w:pPr>
        <w:spacing w:line="360" w:lineRule="auto"/>
        <w:ind w:firstLine="640" w:firstLineChars="200"/>
        <w:rPr>
          <w:rFonts w:hAnsi="Times New Roman"/>
        </w:rPr>
      </w:pPr>
    </w:p>
    <w:p>
      <w:pPr>
        <w:snapToGrid w:val="0"/>
        <w:spacing w:line="360" w:lineRule="auto"/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  <w:b/>
          <w:bCs/>
          <w:kern w:val="0"/>
          <w:lang w:val="en-US" w:eastAsia="zh-CN"/>
        </w:rPr>
        <w:t>白城铁路运输</w:t>
      </w:r>
      <w:r>
        <w:rPr>
          <w:rFonts w:ascii="Times New Roman" w:hAnsi="Times New Roman"/>
          <w:b/>
          <w:bCs/>
          <w:kern w:val="0"/>
        </w:rPr>
        <w:t>法院执行案件列表</w:t>
      </w:r>
    </w:p>
    <w:tbl>
      <w:tblPr>
        <w:tblStyle w:val="10"/>
        <w:tblW w:w="1050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088"/>
        <w:gridCol w:w="539"/>
        <w:gridCol w:w="420"/>
        <w:gridCol w:w="419"/>
        <w:gridCol w:w="419"/>
        <w:gridCol w:w="419"/>
        <w:gridCol w:w="1130"/>
        <w:gridCol w:w="764"/>
        <w:gridCol w:w="851"/>
        <w:gridCol w:w="893"/>
        <w:gridCol w:w="15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5" w:hRule="atLeast"/>
          <w:jc w:val="center"/>
        </w:trPr>
        <w:tc>
          <w:tcPr>
            <w:tcW w:w="10506" w:type="dxa"/>
            <w:gridSpan w:val="11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统计日期:2016-01-01到2016-1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-3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单位: 件、天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6" w:hRule="atLeast"/>
          <w:jc w:val="center"/>
        </w:trPr>
        <w:tc>
          <w:tcPr>
            <w:tcW w:w="10506" w:type="dxa"/>
            <w:gridSpan w:val="11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执行案件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6" w:hRule="atLeast"/>
          <w:jc w:val="center"/>
        </w:trPr>
        <w:tc>
          <w:tcPr>
            <w:tcW w:w="3088" w:type="dxa"/>
            <w:vMerge w:val="restart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法院</w:t>
            </w:r>
          </w:p>
        </w:tc>
        <w:tc>
          <w:tcPr>
            <w:tcW w:w="539" w:type="dxa"/>
            <w:vMerge w:val="restart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立案数</w:t>
            </w:r>
          </w:p>
        </w:tc>
        <w:tc>
          <w:tcPr>
            <w:tcW w:w="5315" w:type="dxa"/>
            <w:gridSpan w:val="8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结案数</w:t>
            </w:r>
          </w:p>
        </w:tc>
        <w:tc>
          <w:tcPr>
            <w:tcW w:w="1564" w:type="dxa"/>
            <w:vMerge w:val="restart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结案率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  <w:jc w:val="center"/>
        </w:trPr>
        <w:tc>
          <w:tcPr>
            <w:tcW w:w="3088" w:type="dxa"/>
            <w:vMerge w:val="continue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 w:val="continue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07" w:type="dxa"/>
            <w:gridSpan w:val="5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  <w:szCs w:val="24"/>
              </w:rPr>
              <w:t>普通执行</w:t>
            </w:r>
          </w:p>
        </w:tc>
        <w:tc>
          <w:tcPr>
            <w:tcW w:w="1615" w:type="dxa"/>
            <w:gridSpan w:val="2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  <w:szCs w:val="24"/>
              </w:rPr>
              <w:t>执行异议</w:t>
            </w:r>
          </w:p>
        </w:tc>
        <w:tc>
          <w:tcPr>
            <w:tcW w:w="893" w:type="dxa"/>
            <w:vMerge w:val="restart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  <w:szCs w:val="24"/>
              </w:rPr>
              <w:t>执行财产保全</w:t>
            </w:r>
          </w:p>
        </w:tc>
        <w:tc>
          <w:tcPr>
            <w:tcW w:w="1564" w:type="dxa"/>
            <w:vMerge w:val="continue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  <w:jc w:val="center"/>
        </w:trPr>
        <w:tc>
          <w:tcPr>
            <w:tcW w:w="3088" w:type="dxa"/>
            <w:vMerge w:val="continue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 w:val="continue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执行</w:t>
            </w:r>
          </w:p>
        </w:tc>
        <w:tc>
          <w:tcPr>
            <w:tcW w:w="4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终结</w:t>
            </w:r>
          </w:p>
        </w:tc>
        <w:tc>
          <w:tcPr>
            <w:tcW w:w="4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驳回</w:t>
            </w:r>
          </w:p>
        </w:tc>
        <w:tc>
          <w:tcPr>
            <w:tcW w:w="4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1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  <w:szCs w:val="24"/>
              </w:rPr>
              <w:t>终结本次执行程序</w:t>
            </w:r>
          </w:p>
        </w:tc>
        <w:tc>
          <w:tcPr>
            <w:tcW w:w="76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  <w:szCs w:val="24"/>
              </w:rPr>
              <w:t>撤回</w:t>
            </w:r>
          </w:p>
        </w:tc>
        <w:tc>
          <w:tcPr>
            <w:tcW w:w="85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  <w:szCs w:val="24"/>
              </w:rPr>
              <w:t>异议部分成立</w:t>
            </w:r>
          </w:p>
        </w:tc>
        <w:tc>
          <w:tcPr>
            <w:tcW w:w="893" w:type="dxa"/>
            <w:vMerge w:val="continue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vMerge w:val="continue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30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白城铁路运输法院</w:t>
            </w:r>
          </w:p>
        </w:tc>
        <w:tc>
          <w:tcPr>
            <w:tcW w:w="53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4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4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87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50%</w:t>
            </w:r>
          </w:p>
        </w:tc>
      </w:tr>
    </w:tbl>
    <w:p>
      <w:pPr>
        <w:snapToGrid w:val="0"/>
        <w:spacing w:line="360" w:lineRule="auto"/>
        <w:ind w:firstLine="710" w:firstLineChars="221"/>
        <w:jc w:val="left"/>
        <w:rPr>
          <w:rFonts w:ascii="楷体" w:hAnsi="楷体" w:eastAsia="楷体"/>
          <w:b/>
        </w:rPr>
      </w:pPr>
    </w:p>
    <w:p>
      <w:pPr>
        <w:snapToGrid w:val="0"/>
        <w:spacing w:line="360" w:lineRule="auto"/>
        <w:ind w:firstLine="710" w:firstLineChars="221"/>
        <w:jc w:val="left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（四）非诉保全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1-1</w:t>
      </w:r>
      <w:r>
        <w:rPr>
          <w:rFonts w:hint="eastAsia" w:ascii="Times New Roman" w:hAnsi="Times New Roman"/>
          <w:lang w:val="en-US" w:eastAsia="zh-CN"/>
        </w:rPr>
        <w:t>2</w:t>
      </w:r>
      <w:r>
        <w:rPr>
          <w:rFonts w:ascii="Times New Roman" w:hAnsi="Times New Roman"/>
        </w:rPr>
        <w:t>月份</w:t>
      </w:r>
      <w:r>
        <w:rPr>
          <w:rFonts w:hint="eastAsia" w:hAnsi="Times New Roman"/>
          <w:lang w:val="en-US" w:eastAsia="zh-CN"/>
        </w:rPr>
        <w:t>白城铁路运输</w:t>
      </w:r>
      <w:r>
        <w:rPr>
          <w:rFonts w:hint="eastAsia" w:hAnsi="Times New Roman"/>
        </w:rPr>
        <w:t>法院</w:t>
      </w:r>
      <w:r>
        <w:rPr>
          <w:rFonts w:hint="eastAsia" w:hAnsi="Times New Roman"/>
          <w:lang w:val="en-US" w:eastAsia="zh-CN"/>
        </w:rPr>
        <w:t>无</w:t>
      </w:r>
      <w:r>
        <w:rPr>
          <w:rFonts w:hint="eastAsia" w:hAnsi="Times New Roman"/>
        </w:rPr>
        <w:t>非诉保全类案件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ind w:left="645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三、</w:t>
      </w:r>
      <w:r>
        <w:rPr>
          <w:rFonts w:hint="eastAsia" w:ascii="黑体" w:hAnsi="黑体" w:eastAsia="黑体"/>
          <w:b/>
          <w:lang w:val="en-US" w:eastAsia="zh-CN"/>
        </w:rPr>
        <w:t>白城</w:t>
      </w:r>
      <w:r>
        <w:rPr>
          <w:rFonts w:hint="eastAsia" w:ascii="黑体" w:hAnsi="黑体" w:eastAsia="黑体"/>
          <w:b/>
        </w:rPr>
        <w:t>铁路</w:t>
      </w:r>
      <w:r>
        <w:rPr>
          <w:rFonts w:hint="eastAsia" w:ascii="黑体" w:hAnsi="黑体" w:eastAsia="黑体"/>
          <w:b/>
          <w:lang w:val="en-US" w:eastAsia="zh-CN"/>
        </w:rPr>
        <w:t>运输</w:t>
      </w:r>
      <w:r>
        <w:rPr>
          <w:rFonts w:hint="eastAsia" w:ascii="黑体" w:hAnsi="黑体" w:eastAsia="黑体"/>
          <w:b/>
        </w:rPr>
        <w:t>法院审判工作其他方面基本情况</w:t>
      </w:r>
    </w:p>
    <w:p>
      <w:pPr>
        <w:snapToGrid w:val="0"/>
        <w:spacing w:line="360" w:lineRule="auto"/>
        <w:ind w:firstLine="710" w:firstLineChars="221"/>
        <w:jc w:val="left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（一）法定审限结案及长期未结诉讼案件情况</w:t>
      </w:r>
    </w:p>
    <w:p>
      <w:pPr>
        <w:snapToGrid w:val="0"/>
        <w:spacing w:line="360" w:lineRule="auto"/>
        <w:ind w:firstLine="710" w:firstLineChars="221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白城铁路运输法院结案率为96.77%，法定审限内结案率为93.33%。延长审限的案件有2件：民事案件1件，延长审限原因为：案情疑难复杂；执行旧存案件1件，延长审限原因为：案情疑难复杂。</w:t>
      </w:r>
    </w:p>
    <w:p>
      <w:pPr>
        <w:snapToGrid w:val="0"/>
        <w:spacing w:line="360" w:lineRule="auto"/>
        <w:ind w:firstLine="710" w:firstLineChars="221"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我院尚未有长期未结诉讼案件。</w:t>
      </w:r>
    </w:p>
    <w:p>
      <w:pPr>
        <w:snapToGrid w:val="0"/>
        <w:spacing w:line="360" w:lineRule="auto"/>
        <w:ind w:firstLine="710" w:firstLineChars="221"/>
        <w:jc w:val="left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（二）审判质效情况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b/>
          <w:bCs/>
          <w:lang w:eastAsia="zh-CN"/>
        </w:rPr>
      </w:pPr>
      <w:r>
        <w:rPr>
          <w:rFonts w:hint="eastAsia" w:ascii="楷体" w:hAnsi="楷体" w:eastAsia="楷体" w:cs="楷体"/>
          <w:b/>
          <w:bCs/>
          <w:lang w:eastAsia="zh-CN"/>
        </w:rPr>
        <w:t>1.一审服判息诉情况</w:t>
      </w:r>
    </w:p>
    <w:p>
      <w:pPr>
        <w:spacing w:line="360" w:lineRule="auto"/>
        <w:ind w:firstLine="640" w:firstLineChars="200"/>
        <w:rPr>
          <w:rFonts w:hint="eastAsia" w:hAnsi="Times New Roman"/>
          <w:lang w:eastAsia="zh-CN"/>
        </w:rPr>
      </w:pPr>
      <w:r>
        <w:rPr>
          <w:rFonts w:hint="eastAsia" w:ascii="Times New Roman" w:hAnsi="Times New Roman"/>
          <w:lang w:val="en-US" w:eastAsia="zh-CN"/>
        </w:rPr>
        <w:t>白城铁路运输</w:t>
      </w:r>
      <w:r>
        <w:rPr>
          <w:rFonts w:ascii="Times New Roman" w:hAnsi="Times New Roman"/>
        </w:rPr>
        <w:t>法院</w:t>
      </w:r>
      <w:r>
        <w:rPr>
          <w:rFonts w:hint="eastAsia" w:hAnsi="Times New Roman"/>
          <w:lang w:eastAsia="zh-CN"/>
        </w:rPr>
        <w:t>刑事案件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一审服判息诉率</w:t>
      </w:r>
      <w:r>
        <w:rPr>
          <w:rStyle w:val="9"/>
          <w:rFonts w:ascii="仿宋_GB2312" w:hAnsi="仿宋_GB2312" w:eastAsia="仿宋_GB2312" w:cs="仿宋_GB2312"/>
          <w:color w:val="000000"/>
          <w:sz w:val="32"/>
          <w:szCs w:val="32"/>
        </w:rPr>
        <w:footnoteReference w:id="3"/>
      </w:r>
      <w:r>
        <w:rPr>
          <w:rFonts w:hint="eastAsia" w:hAnsi="Times New Roman"/>
          <w:lang w:eastAsia="zh-CN"/>
        </w:rPr>
        <w:t>为100 %，同比无变化；民事案件一审服判息诉率为7</w:t>
      </w:r>
      <w:r>
        <w:rPr>
          <w:rFonts w:hint="eastAsia" w:hAnsi="Times New Roman"/>
          <w:lang w:val="en-US" w:eastAsia="zh-CN"/>
        </w:rPr>
        <w:t>5</w:t>
      </w:r>
      <w:r>
        <w:rPr>
          <w:rFonts w:hint="eastAsia" w:hAnsi="Times New Roman"/>
          <w:lang w:eastAsia="zh-CN"/>
        </w:rPr>
        <w:t>%，同比下降2</w:t>
      </w:r>
      <w:r>
        <w:rPr>
          <w:rFonts w:hint="eastAsia" w:hAnsi="Times New Roman"/>
          <w:lang w:val="en-US" w:eastAsia="zh-CN"/>
        </w:rPr>
        <w:t>5</w:t>
      </w:r>
      <w:r>
        <w:rPr>
          <w:rFonts w:hint="eastAsia" w:hAnsi="Times New Roman"/>
          <w:lang w:eastAsia="zh-CN"/>
        </w:rPr>
        <w:t>%。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b/>
          <w:bCs/>
          <w:lang w:eastAsia="zh-CN"/>
        </w:rPr>
      </w:pPr>
      <w:r>
        <w:rPr>
          <w:rFonts w:hint="eastAsia" w:ascii="楷体" w:hAnsi="楷体" w:eastAsia="楷体" w:cs="楷体"/>
          <w:b/>
          <w:bCs/>
          <w:lang w:eastAsia="zh-CN"/>
        </w:rPr>
        <w:t>2.案件被发改情况</w:t>
      </w:r>
    </w:p>
    <w:p>
      <w:pPr>
        <w:spacing w:line="360" w:lineRule="auto"/>
        <w:ind w:firstLine="640" w:firstLineChars="200"/>
        <w:rPr>
          <w:rFonts w:hint="eastAsia" w:hAnsi="Times New Roman"/>
          <w:lang w:eastAsia="zh-CN"/>
        </w:rPr>
      </w:pPr>
      <w:r>
        <w:rPr>
          <w:rFonts w:hint="eastAsia" w:ascii="Times New Roman" w:hAnsi="Times New Roman"/>
          <w:lang w:val="en-US" w:eastAsia="zh-CN"/>
        </w:rPr>
        <w:t>白城铁路运输</w:t>
      </w:r>
      <w:r>
        <w:rPr>
          <w:rFonts w:ascii="Times New Roman" w:hAnsi="Times New Roman"/>
        </w:rPr>
        <w:t>法院</w:t>
      </w:r>
      <w:r>
        <w:rPr>
          <w:rFonts w:hint="eastAsia" w:hAnsi="Times New Roman"/>
          <w:lang w:eastAsia="zh-CN"/>
        </w:rPr>
        <w:t>案件被发改率为0，维持率为100 %。</w:t>
      </w:r>
    </w:p>
    <w:p>
      <w:pPr>
        <w:spacing w:line="360" w:lineRule="auto"/>
        <w:ind w:firstLine="640" w:firstLineChars="200"/>
        <w:rPr>
          <w:rFonts w:hint="eastAsia" w:hAnsi="Times New Roman"/>
          <w:lang w:eastAsia="zh-CN"/>
        </w:rPr>
      </w:pPr>
      <w:r>
        <w:rPr>
          <w:rFonts w:hint="eastAsia" w:ascii="楷体" w:hAnsi="楷体" w:eastAsia="楷体" w:cs="楷体"/>
          <w:b/>
          <w:bCs/>
          <w:lang w:eastAsia="zh-CN"/>
        </w:rPr>
        <w:t>（三）小额诉讼及简易程序适用情况</w:t>
      </w:r>
    </w:p>
    <w:p>
      <w:pPr>
        <w:spacing w:line="360" w:lineRule="auto"/>
        <w:ind w:firstLine="640" w:firstLineChars="200"/>
        <w:rPr>
          <w:rFonts w:hint="eastAsia" w:hAnsi="Times New Roman"/>
          <w:lang w:eastAsia="zh-CN"/>
        </w:rPr>
      </w:pPr>
      <w:r>
        <w:rPr>
          <w:rFonts w:hint="eastAsia" w:hAnsi="Times New Roman"/>
          <w:lang w:eastAsia="zh-CN"/>
        </w:rPr>
        <w:t xml:space="preserve"> </w:t>
      </w:r>
      <w:r>
        <w:rPr>
          <w:rFonts w:hint="eastAsia" w:ascii="Times New Roman" w:hAnsi="Times New Roman"/>
          <w:lang w:val="en-US" w:eastAsia="zh-CN"/>
        </w:rPr>
        <w:t>白城铁路运输</w:t>
      </w:r>
      <w:r>
        <w:rPr>
          <w:rFonts w:ascii="Times New Roman" w:hAnsi="Times New Roman"/>
        </w:rPr>
        <w:t>法院</w:t>
      </w:r>
      <w:r>
        <w:rPr>
          <w:rFonts w:hint="eastAsia" w:hAnsi="Times New Roman"/>
          <w:lang w:eastAsia="zh-CN"/>
        </w:rPr>
        <w:t>简易程序适用率为6</w:t>
      </w:r>
      <w:r>
        <w:rPr>
          <w:rFonts w:hint="eastAsia" w:hAnsi="Times New Roman"/>
          <w:lang w:val="en-US" w:eastAsia="zh-CN"/>
        </w:rPr>
        <w:t>9.57</w:t>
      </w:r>
      <w:r>
        <w:rPr>
          <w:rFonts w:hint="eastAsia" w:hAnsi="Times New Roman"/>
          <w:lang w:eastAsia="zh-CN"/>
        </w:rPr>
        <w:t>%，同比上升</w:t>
      </w:r>
      <w:r>
        <w:rPr>
          <w:rFonts w:hint="eastAsia" w:hAnsi="Times New Roman"/>
          <w:lang w:val="en-US" w:eastAsia="zh-CN"/>
        </w:rPr>
        <w:t>31.11</w:t>
      </w:r>
      <w:r>
        <w:rPr>
          <w:rFonts w:hint="eastAsia" w:hAnsi="Times New Roman"/>
          <w:lang w:eastAsia="zh-CN"/>
        </w:rPr>
        <w:t>个百分点。其中，刑事案件简易程序适用率为</w:t>
      </w:r>
      <w:r>
        <w:rPr>
          <w:rFonts w:hint="eastAsia" w:hAnsi="Times New Roman"/>
          <w:lang w:val="en-US" w:eastAsia="zh-CN"/>
        </w:rPr>
        <w:t>86.67</w:t>
      </w:r>
      <w:r>
        <w:rPr>
          <w:rFonts w:hint="eastAsia" w:hAnsi="Times New Roman"/>
          <w:lang w:eastAsia="zh-CN"/>
        </w:rPr>
        <w:t>%，同比上升</w:t>
      </w:r>
      <w:r>
        <w:rPr>
          <w:rFonts w:hint="eastAsia" w:hAnsi="Times New Roman"/>
          <w:lang w:val="en-US" w:eastAsia="zh-CN"/>
        </w:rPr>
        <w:t>3.34</w:t>
      </w:r>
      <w:r>
        <w:rPr>
          <w:rFonts w:hint="eastAsia" w:hAnsi="Times New Roman"/>
          <w:lang w:eastAsia="zh-CN"/>
        </w:rPr>
        <w:t>个百分点；民事案件简易程序适用率为37.5%，同比上升37.5个百分点。</w:t>
      </w:r>
    </w:p>
    <w:p>
      <w:pPr>
        <w:spacing w:line="360" w:lineRule="auto"/>
        <w:ind w:firstLine="640" w:firstLineChars="200"/>
        <w:rPr>
          <w:rFonts w:hint="eastAsia" w:hAnsi="Times New Roman"/>
          <w:b/>
        </w:rPr>
      </w:pPr>
      <w:r>
        <w:rPr>
          <w:rFonts w:hint="eastAsia" w:ascii="Times New Roman" w:hAnsi="Times New Roman"/>
          <w:lang w:val="en-US" w:eastAsia="zh-CN"/>
        </w:rPr>
        <w:t>白城铁路运输</w:t>
      </w:r>
      <w:r>
        <w:rPr>
          <w:rFonts w:ascii="Times New Roman" w:hAnsi="Times New Roman"/>
        </w:rPr>
        <w:t>法院</w:t>
      </w:r>
      <w:r>
        <w:rPr>
          <w:rFonts w:hint="eastAsia" w:hAnsi="Times New Roman"/>
          <w:lang w:eastAsia="zh-CN"/>
        </w:rPr>
        <w:t>共受理民事一审案件8件，其中适用简易程序审理的案件3件，占37.5 %。适用简易程序的案件中，适用小额诉讼程序案件0件，满足小额诉讼程序的案件有0件。</w:t>
      </w:r>
    </w:p>
    <w:p>
      <w:pPr>
        <w:snapToGrid w:val="0"/>
        <w:spacing w:line="360" w:lineRule="auto"/>
        <w:ind w:firstLine="710" w:firstLineChars="221"/>
        <w:jc w:val="left"/>
        <w:rPr>
          <w:rFonts w:ascii="楷体" w:hAnsi="楷体" w:eastAsia="楷体"/>
          <w:b/>
        </w:rPr>
      </w:pPr>
      <w:r>
        <w:rPr>
          <w:rFonts w:ascii="楷体" w:hAnsi="楷体" w:eastAsia="楷体"/>
          <w:b/>
        </w:rPr>
        <w:t>（</w:t>
      </w:r>
      <w:r>
        <w:rPr>
          <w:rFonts w:hint="eastAsia" w:ascii="楷体" w:hAnsi="楷体" w:eastAsia="楷体"/>
          <w:b/>
          <w:lang w:val="en-US" w:eastAsia="zh-CN"/>
        </w:rPr>
        <w:t>四</w:t>
      </w:r>
      <w:r>
        <w:rPr>
          <w:rFonts w:ascii="楷体" w:hAnsi="楷体" w:eastAsia="楷体"/>
          <w:b/>
        </w:rPr>
        <w:t>）裁判文书上网情况</w:t>
      </w:r>
      <w:r>
        <w:rPr>
          <w:rStyle w:val="9"/>
          <w:rFonts w:ascii="楷体" w:hAnsi="楷体" w:eastAsia="楷体"/>
          <w:b/>
        </w:rPr>
        <w:footnoteReference w:id="4"/>
      </w:r>
    </w:p>
    <w:p>
      <w:pPr>
        <w:snapToGrid w:val="0"/>
        <w:spacing w:line="360" w:lineRule="auto"/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  <w:b/>
          <w:bCs/>
          <w:kern w:val="0"/>
          <w:lang w:val="en-US" w:eastAsia="zh-CN"/>
        </w:rPr>
        <w:t>白城铁路运输</w:t>
      </w:r>
      <w:r>
        <w:rPr>
          <w:rFonts w:ascii="Times New Roman" w:hAnsi="Times New Roman"/>
          <w:b/>
          <w:bCs/>
          <w:kern w:val="0"/>
        </w:rPr>
        <w:t>法院</w:t>
      </w:r>
      <w:r>
        <w:rPr>
          <w:rFonts w:hint="eastAsia" w:ascii="Times New Roman" w:hAnsi="Times New Roman"/>
          <w:b/>
          <w:bCs/>
          <w:kern w:val="0"/>
        </w:rPr>
        <w:t>裁判文书上网情况</w:t>
      </w:r>
      <w:r>
        <w:rPr>
          <w:rFonts w:ascii="Times New Roman" w:hAnsi="Times New Roman"/>
          <w:b/>
          <w:bCs/>
          <w:kern w:val="0"/>
        </w:rPr>
        <w:t>列表</w:t>
      </w:r>
      <w:r>
        <w:rPr>
          <w:rStyle w:val="9"/>
          <w:rFonts w:ascii="Times New Roman" w:hAnsi="Times New Roman"/>
          <w:b/>
          <w:bCs/>
          <w:kern w:val="0"/>
        </w:rPr>
        <w:footnoteReference w:id="5"/>
      </w:r>
    </w:p>
    <w:tbl>
      <w:tblPr>
        <w:tblStyle w:val="10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5"/>
        <w:gridCol w:w="1248"/>
        <w:gridCol w:w="1248"/>
        <w:gridCol w:w="1887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统计日期:2016-01-01到2016-1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-3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单位: 件、天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法院</w:t>
            </w:r>
          </w:p>
        </w:tc>
        <w:tc>
          <w:tcPr>
            <w:tcW w:w="124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上网数</w:t>
            </w:r>
          </w:p>
        </w:tc>
        <w:tc>
          <w:tcPr>
            <w:tcW w:w="124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结案数</w:t>
            </w:r>
          </w:p>
        </w:tc>
        <w:tc>
          <w:tcPr>
            <w:tcW w:w="188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民事调解数</w:t>
            </w:r>
          </w:p>
        </w:tc>
        <w:tc>
          <w:tcPr>
            <w:tcW w:w="142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上网率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白城铁路运输法院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8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  <w:lang w:val="en-US" w:eastAsia="zh-CN"/>
              </w:rPr>
              <w:t>67.86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%</w:t>
            </w:r>
          </w:p>
        </w:tc>
      </w:tr>
    </w:tbl>
    <w:p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24"/>
        </w:rPr>
      </w:pPr>
    </w:p>
    <w:p>
      <w:pPr>
        <w:snapToGrid w:val="0"/>
        <w:spacing w:line="360" w:lineRule="auto"/>
        <w:ind w:firstLine="710" w:firstLineChars="221"/>
        <w:jc w:val="left"/>
        <w:rPr>
          <w:rFonts w:ascii="楷体" w:hAnsi="楷体" w:eastAsia="楷体"/>
          <w:b/>
        </w:rPr>
      </w:pPr>
      <w:r>
        <w:rPr>
          <w:rFonts w:ascii="楷体" w:hAnsi="楷体" w:eastAsia="楷体"/>
          <w:b/>
        </w:rPr>
        <w:t>（</w:t>
      </w:r>
      <w:r>
        <w:rPr>
          <w:rFonts w:hint="eastAsia" w:ascii="楷体" w:hAnsi="楷体" w:eastAsia="楷体"/>
          <w:b/>
          <w:lang w:val="en-US" w:eastAsia="zh-CN"/>
        </w:rPr>
        <w:t>五</w:t>
      </w:r>
      <w:r>
        <w:rPr>
          <w:rFonts w:ascii="楷体" w:hAnsi="楷体" w:eastAsia="楷体"/>
          <w:b/>
        </w:rPr>
        <w:t>）案件调撤率</w:t>
      </w:r>
    </w:p>
    <w:p>
      <w:pPr>
        <w:spacing w:line="360" w:lineRule="auto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/>
          <w:lang w:val="en-US" w:eastAsia="zh-CN"/>
        </w:rPr>
        <w:t>白城铁路运输</w:t>
      </w:r>
      <w:r>
        <w:rPr>
          <w:rFonts w:ascii="Times New Roman" w:hAnsi="Times New Roman"/>
        </w:rPr>
        <w:t>法院民事已结案件共计</w:t>
      </w:r>
      <w:r>
        <w:rPr>
          <w:rFonts w:hint="eastAsia" w:ascii="Times New Roman" w:hAnsi="Times New Roman"/>
          <w:lang w:val="en-US" w:eastAsia="zh-CN"/>
        </w:rPr>
        <w:t>8</w:t>
      </w:r>
      <w:r>
        <w:rPr>
          <w:rFonts w:ascii="Times New Roman" w:hAnsi="Times New Roman"/>
        </w:rPr>
        <w:t>件，撤诉</w:t>
      </w:r>
      <w:r>
        <w:rPr>
          <w:rFonts w:hint="eastAsia" w:ascii="Times New Roman" w:hAnsi="Times New Roman"/>
          <w:lang w:val="en-US" w:eastAsia="zh-CN"/>
        </w:rPr>
        <w:t>2</w:t>
      </w:r>
      <w:r>
        <w:rPr>
          <w:rFonts w:ascii="Times New Roman" w:hAnsi="Times New Roman"/>
        </w:rPr>
        <w:t>件，调解</w:t>
      </w:r>
      <w:r>
        <w:rPr>
          <w:rFonts w:hint="eastAsia" w:ascii="Times New Roman" w:hAnsi="Times New Roman"/>
          <w:lang w:val="en-US" w:eastAsia="zh-CN"/>
        </w:rPr>
        <w:t>2</w:t>
      </w:r>
      <w:r>
        <w:rPr>
          <w:rFonts w:ascii="Times New Roman" w:hAnsi="Times New Roman"/>
        </w:rPr>
        <w:t>件，调撤率</w:t>
      </w:r>
      <w:r>
        <w:rPr>
          <w:rFonts w:hint="eastAsia" w:ascii="Times New Roman" w:hAnsi="Times New Roman"/>
          <w:lang w:val="en-US" w:eastAsia="zh-CN"/>
        </w:rPr>
        <w:t>50</w:t>
      </w:r>
      <w:r>
        <w:rPr>
          <w:rFonts w:ascii="Times New Roman" w:hAnsi="Times New Roman"/>
        </w:rPr>
        <w:t>%</w:t>
      </w:r>
      <w:r>
        <w:rPr>
          <w:rFonts w:hint="eastAsia" w:ascii="Times New Roman" w:hAnsi="Times New Roman"/>
        </w:rPr>
        <w:t>,同比</w:t>
      </w:r>
      <w:r>
        <w:rPr>
          <w:rFonts w:hint="eastAsia" w:ascii="Times New Roman" w:hAnsi="Times New Roman"/>
          <w:lang w:val="en-US" w:eastAsia="zh-CN"/>
        </w:rPr>
        <w:t>上升7.14</w:t>
      </w:r>
      <w:r>
        <w:rPr>
          <w:rFonts w:hint="eastAsia" w:ascii="Times New Roman" w:hAnsi="Times New Roman"/>
        </w:rPr>
        <w:t>%</w:t>
      </w:r>
      <w:r>
        <w:rPr>
          <w:rFonts w:ascii="Times New Roman" w:hAnsi="Times New Roman"/>
        </w:rPr>
        <w:t>。</w:t>
      </w:r>
    </w:p>
    <w:p>
      <w:pPr>
        <w:snapToGrid w:val="0"/>
        <w:spacing w:line="360" w:lineRule="auto"/>
        <w:ind w:firstLine="710" w:firstLineChars="221"/>
        <w:jc w:val="left"/>
        <w:rPr>
          <w:rFonts w:ascii="楷体" w:hAnsi="楷体" w:eastAsia="楷体"/>
          <w:b/>
        </w:rPr>
      </w:pPr>
      <w:r>
        <w:rPr>
          <w:rFonts w:ascii="楷体" w:hAnsi="楷体" w:eastAsia="楷体"/>
          <w:b/>
        </w:rPr>
        <w:t>（</w:t>
      </w:r>
      <w:r>
        <w:rPr>
          <w:rFonts w:hint="eastAsia" w:ascii="楷体" w:hAnsi="楷体" w:eastAsia="楷体"/>
          <w:b/>
          <w:lang w:val="en-US" w:eastAsia="zh-CN"/>
        </w:rPr>
        <w:t>六</w:t>
      </w:r>
      <w:r>
        <w:rPr>
          <w:rFonts w:ascii="楷体" w:hAnsi="楷体" w:eastAsia="楷体"/>
          <w:b/>
        </w:rPr>
        <w:t>）卷宗电子化情况</w:t>
      </w:r>
    </w:p>
    <w:p>
      <w:pPr>
        <w:snapToGrid w:val="0"/>
        <w:spacing w:line="360" w:lineRule="auto"/>
        <w:ind w:firstLine="640" w:firstLineChars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>
        <w:rPr>
          <w:rFonts w:hint="eastAsia" w:ascii="Times New Roman" w:hAnsi="Times New Roman"/>
        </w:rPr>
        <w:t>年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月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日至</w:t>
      </w:r>
      <w:r>
        <w:rPr>
          <w:rFonts w:ascii="Times New Roman" w:hAnsi="Times New Roman"/>
        </w:rPr>
        <w:t>2016</w:t>
      </w:r>
      <w:r>
        <w:rPr>
          <w:rFonts w:hint="eastAsia" w:ascii="Times New Roman" w:hAnsi="Times New Roman"/>
        </w:rPr>
        <w:t>年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  <w:lang w:val="en-US" w:eastAsia="zh-CN"/>
        </w:rPr>
        <w:t>2</w:t>
      </w:r>
      <w:r>
        <w:rPr>
          <w:rFonts w:hint="eastAsia" w:ascii="Times New Roman" w:hAnsi="Times New Roman"/>
        </w:rPr>
        <w:t>月</w:t>
      </w: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  <w:lang w:val="en-US" w:eastAsia="zh-CN"/>
        </w:rPr>
        <w:t>1</w:t>
      </w:r>
      <w:r>
        <w:rPr>
          <w:rFonts w:hint="eastAsia" w:ascii="Times New Roman" w:hAnsi="Times New Roman"/>
        </w:rPr>
        <w:t>日</w:t>
      </w:r>
      <w:r>
        <w:rPr>
          <w:rFonts w:hint="eastAsia" w:ascii="Times New Roman" w:hAnsi="Times New Roman"/>
          <w:lang w:val="en-US" w:eastAsia="zh-CN"/>
        </w:rPr>
        <w:t>白城铁路运输</w:t>
      </w:r>
      <w:r>
        <w:rPr>
          <w:rFonts w:hint="eastAsia" w:ascii="Times New Roman" w:hAnsi="Times New Roman"/>
        </w:rPr>
        <w:t>法院各类案件共</w:t>
      </w:r>
      <w:r>
        <w:rPr>
          <w:rFonts w:hint="eastAsia" w:ascii="Times New Roman" w:hAnsi="Times New Roman"/>
          <w:lang w:val="en-US" w:eastAsia="zh-CN"/>
        </w:rPr>
        <w:t>31</w:t>
      </w:r>
      <w:r>
        <w:rPr>
          <w:rFonts w:hint="eastAsia" w:ascii="Times New Roman" w:hAnsi="Times New Roman"/>
        </w:rPr>
        <w:t>件，有结案文书的案件共</w:t>
      </w:r>
      <w:r>
        <w:rPr>
          <w:rFonts w:hint="eastAsia" w:ascii="Times New Roman" w:hAnsi="Times New Roman"/>
          <w:lang w:val="en-US" w:eastAsia="zh-CN"/>
        </w:rPr>
        <w:t>25</w:t>
      </w:r>
      <w:r>
        <w:rPr>
          <w:rFonts w:hint="eastAsia" w:ascii="Times New Roman" w:hAnsi="Times New Roman"/>
        </w:rPr>
        <w:t>件，有电子卷宗的案件共</w:t>
      </w:r>
      <w:r>
        <w:rPr>
          <w:rFonts w:hint="eastAsia" w:ascii="Times New Roman" w:hAnsi="Times New Roman"/>
          <w:lang w:val="en-US" w:eastAsia="zh-CN"/>
        </w:rPr>
        <w:t>27</w:t>
      </w:r>
      <w:r>
        <w:rPr>
          <w:rFonts w:hint="eastAsia" w:ascii="Times New Roman" w:hAnsi="Times New Roman"/>
        </w:rPr>
        <w:t>件。</w:t>
      </w:r>
    </w:p>
    <w:p>
      <w:pPr>
        <w:snapToGrid w:val="0"/>
        <w:spacing w:line="360" w:lineRule="auto"/>
        <w:ind w:firstLine="640" w:firstLineChars="200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刑事案件共</w:t>
      </w:r>
      <w:r>
        <w:rPr>
          <w:rFonts w:hint="eastAsia" w:ascii="Times New Roman" w:hAnsi="Times New Roman"/>
          <w:lang w:val="en-US" w:eastAsia="zh-CN"/>
        </w:rPr>
        <w:t>15</w:t>
      </w:r>
      <w:r>
        <w:rPr>
          <w:rFonts w:hint="eastAsia" w:ascii="Times New Roman" w:hAnsi="Times New Roman"/>
        </w:rPr>
        <w:t>件，占各类案件总数的</w:t>
      </w:r>
      <w:r>
        <w:rPr>
          <w:rFonts w:hint="eastAsia" w:ascii="Times New Roman" w:hAnsi="Times New Roman"/>
          <w:lang w:val="en-US" w:eastAsia="zh-CN"/>
        </w:rPr>
        <w:t>48.39</w:t>
      </w:r>
      <w:r>
        <w:rPr>
          <w:rFonts w:hint="eastAsia" w:ascii="Times New Roman" w:hAnsi="Times New Roman"/>
        </w:rPr>
        <w:t>%，其中有结案文书的案件共</w:t>
      </w:r>
      <w:r>
        <w:rPr>
          <w:rFonts w:hint="eastAsia" w:ascii="Times New Roman" w:hAnsi="Times New Roman"/>
          <w:lang w:val="en-US" w:eastAsia="zh-CN"/>
        </w:rPr>
        <w:t>15</w:t>
      </w:r>
      <w:r>
        <w:rPr>
          <w:rFonts w:hint="eastAsia" w:ascii="Times New Roman" w:hAnsi="Times New Roman"/>
        </w:rPr>
        <w:t>件，有电子卷宗案件共</w:t>
      </w:r>
      <w:r>
        <w:rPr>
          <w:rFonts w:hint="eastAsia" w:ascii="Times New Roman" w:hAnsi="Times New Roman"/>
          <w:lang w:val="en-US" w:eastAsia="zh-CN"/>
        </w:rPr>
        <w:t>15</w:t>
      </w:r>
      <w:r>
        <w:rPr>
          <w:rFonts w:hint="eastAsia" w:ascii="Times New Roman" w:hAnsi="Times New Roman"/>
        </w:rPr>
        <w:t>件。</w:t>
      </w:r>
    </w:p>
    <w:p>
      <w:pPr>
        <w:snapToGrid w:val="0"/>
        <w:spacing w:line="360" w:lineRule="auto"/>
        <w:ind w:firstLine="640" w:firstLineChars="200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民事案件共</w:t>
      </w:r>
      <w:r>
        <w:rPr>
          <w:rFonts w:hint="eastAsia" w:ascii="Times New Roman" w:hAnsi="Times New Roman"/>
          <w:lang w:val="en-US" w:eastAsia="zh-CN"/>
        </w:rPr>
        <w:t>8</w:t>
      </w:r>
      <w:r>
        <w:rPr>
          <w:rFonts w:hint="eastAsia" w:ascii="Times New Roman" w:hAnsi="Times New Roman"/>
        </w:rPr>
        <w:t>件，占各类案件总数的</w:t>
      </w:r>
      <w:r>
        <w:rPr>
          <w:rFonts w:hint="eastAsia" w:ascii="Times New Roman" w:hAnsi="Times New Roman"/>
          <w:lang w:val="en-US" w:eastAsia="zh-CN"/>
        </w:rPr>
        <w:t>25.81</w:t>
      </w:r>
      <w:r>
        <w:rPr>
          <w:rFonts w:hint="eastAsia" w:ascii="Times New Roman" w:hAnsi="Times New Roman"/>
        </w:rPr>
        <w:t>%，其中有结案文书的案件共</w:t>
      </w:r>
      <w:r>
        <w:rPr>
          <w:rFonts w:hint="eastAsia" w:ascii="Times New Roman" w:hAnsi="Times New Roman"/>
          <w:lang w:val="en-US" w:eastAsia="zh-CN"/>
        </w:rPr>
        <w:t>7</w:t>
      </w:r>
      <w:r>
        <w:rPr>
          <w:rFonts w:hint="eastAsia" w:ascii="Times New Roman" w:hAnsi="Times New Roman"/>
        </w:rPr>
        <w:t>件，有电子卷宗案件共</w:t>
      </w:r>
      <w:r>
        <w:rPr>
          <w:rFonts w:hint="eastAsia" w:ascii="Times New Roman" w:hAnsi="Times New Roman"/>
          <w:lang w:val="en-US" w:eastAsia="zh-CN"/>
        </w:rPr>
        <w:t>7</w:t>
      </w:r>
      <w:r>
        <w:rPr>
          <w:rFonts w:hint="eastAsia" w:ascii="Times New Roman" w:hAnsi="Times New Roman"/>
        </w:rPr>
        <w:t>件。</w:t>
      </w:r>
    </w:p>
    <w:p>
      <w:pPr>
        <w:snapToGrid w:val="0"/>
        <w:spacing w:line="360" w:lineRule="auto"/>
        <w:ind w:firstLine="640" w:firstLineChars="200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行政案件共</w:t>
      </w:r>
      <w:r>
        <w:rPr>
          <w:rFonts w:ascii="Times New Roman" w:hAnsi="Times New Roman"/>
        </w:rPr>
        <w:t>0</w:t>
      </w:r>
      <w:r>
        <w:rPr>
          <w:rFonts w:hint="eastAsia" w:ascii="Times New Roman" w:hAnsi="Times New Roman"/>
        </w:rPr>
        <w:t>件，占各类案件总数的</w:t>
      </w:r>
      <w:r>
        <w:rPr>
          <w:rFonts w:ascii="Times New Roman" w:hAnsi="Times New Roman"/>
        </w:rPr>
        <w:t>0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00</w:t>
      </w:r>
      <w:r>
        <w:rPr>
          <w:rFonts w:hint="eastAsia" w:ascii="Times New Roman" w:hAnsi="Times New Roman"/>
        </w:rPr>
        <w:t>%，其中有文书的案件共</w:t>
      </w:r>
      <w:r>
        <w:rPr>
          <w:rFonts w:ascii="Times New Roman" w:hAnsi="Times New Roman"/>
        </w:rPr>
        <w:t>0</w:t>
      </w:r>
      <w:r>
        <w:rPr>
          <w:rFonts w:hint="eastAsia" w:ascii="Times New Roman" w:hAnsi="Times New Roman"/>
        </w:rPr>
        <w:t>件，有结案文书的案件共</w:t>
      </w:r>
      <w:r>
        <w:rPr>
          <w:rFonts w:ascii="Times New Roman" w:hAnsi="Times New Roman"/>
        </w:rPr>
        <w:t>0</w:t>
      </w:r>
      <w:r>
        <w:rPr>
          <w:rFonts w:hint="eastAsia" w:ascii="Times New Roman" w:hAnsi="Times New Roman"/>
        </w:rPr>
        <w:t>件，有电子卷宗案件共</w:t>
      </w:r>
      <w:r>
        <w:rPr>
          <w:rFonts w:ascii="Times New Roman" w:hAnsi="Times New Roman"/>
        </w:rPr>
        <w:t>0</w:t>
      </w:r>
      <w:r>
        <w:rPr>
          <w:rFonts w:hint="eastAsia" w:ascii="Times New Roman" w:hAnsi="Times New Roman"/>
        </w:rPr>
        <w:t>件。</w:t>
      </w:r>
    </w:p>
    <w:p>
      <w:pPr>
        <w:snapToGrid w:val="0"/>
        <w:spacing w:line="360" w:lineRule="auto"/>
        <w:ind w:firstLine="640" w:firstLineChars="200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赔偿案件共</w:t>
      </w:r>
      <w:r>
        <w:rPr>
          <w:rFonts w:ascii="Times New Roman" w:hAnsi="Times New Roman"/>
        </w:rPr>
        <w:t>0</w:t>
      </w:r>
      <w:r>
        <w:rPr>
          <w:rFonts w:hint="eastAsia" w:ascii="Times New Roman" w:hAnsi="Times New Roman"/>
        </w:rPr>
        <w:t>件，占各类案件总数的</w:t>
      </w:r>
      <w:r>
        <w:rPr>
          <w:rFonts w:ascii="Times New Roman" w:hAnsi="Times New Roman"/>
        </w:rPr>
        <w:t>0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00</w:t>
      </w:r>
      <w:r>
        <w:rPr>
          <w:rFonts w:hint="eastAsia" w:ascii="Times New Roman" w:hAnsi="Times New Roman"/>
        </w:rPr>
        <w:t>%，其中有文书的案件共</w:t>
      </w:r>
      <w:r>
        <w:rPr>
          <w:rFonts w:ascii="Times New Roman" w:hAnsi="Times New Roman"/>
        </w:rPr>
        <w:t>0</w:t>
      </w:r>
      <w:r>
        <w:rPr>
          <w:rFonts w:hint="eastAsia" w:ascii="Times New Roman" w:hAnsi="Times New Roman"/>
        </w:rPr>
        <w:t>件，有结案文书的案件共</w:t>
      </w:r>
      <w:r>
        <w:rPr>
          <w:rFonts w:ascii="Times New Roman" w:hAnsi="Times New Roman"/>
        </w:rPr>
        <w:t>0</w:t>
      </w:r>
      <w:r>
        <w:rPr>
          <w:rFonts w:hint="eastAsia" w:ascii="Times New Roman" w:hAnsi="Times New Roman"/>
        </w:rPr>
        <w:t>件，有电子卷宗案件共</w:t>
      </w:r>
      <w:r>
        <w:rPr>
          <w:rFonts w:ascii="Times New Roman" w:hAnsi="Times New Roman"/>
        </w:rPr>
        <w:t>0</w:t>
      </w:r>
      <w:r>
        <w:rPr>
          <w:rFonts w:hint="eastAsia" w:ascii="Times New Roman" w:hAnsi="Times New Roman"/>
        </w:rPr>
        <w:t>件。</w:t>
      </w:r>
    </w:p>
    <w:p>
      <w:pPr>
        <w:snapToGrid w:val="0"/>
        <w:spacing w:line="360" w:lineRule="auto"/>
        <w:ind w:firstLine="640" w:firstLineChars="200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执行案件共</w:t>
      </w:r>
      <w:r>
        <w:rPr>
          <w:rFonts w:hint="eastAsia" w:ascii="Times New Roman" w:hAnsi="Times New Roman"/>
          <w:lang w:val="en-US" w:eastAsia="zh-CN"/>
        </w:rPr>
        <w:t>8</w:t>
      </w:r>
      <w:r>
        <w:rPr>
          <w:rFonts w:hint="eastAsia" w:ascii="Times New Roman" w:hAnsi="Times New Roman"/>
        </w:rPr>
        <w:t>件，占各类案件总数的</w:t>
      </w:r>
      <w:r>
        <w:rPr>
          <w:rFonts w:hint="eastAsia" w:ascii="Times New Roman" w:hAnsi="Times New Roman"/>
          <w:lang w:val="en-US" w:eastAsia="zh-CN"/>
        </w:rPr>
        <w:t>23.41</w:t>
      </w:r>
      <w:r>
        <w:rPr>
          <w:rFonts w:hint="eastAsia" w:ascii="Times New Roman" w:hAnsi="Times New Roman"/>
        </w:rPr>
        <w:t>%，其中有结案文书的案件共</w:t>
      </w: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件，有电子卷宗案件共</w:t>
      </w:r>
      <w:r>
        <w:rPr>
          <w:rFonts w:hint="eastAsia" w:ascii="Times New Roman" w:hAnsi="Times New Roman"/>
          <w:lang w:val="en-US" w:eastAsia="zh-CN"/>
        </w:rPr>
        <w:t>7</w:t>
      </w:r>
      <w:r>
        <w:rPr>
          <w:rFonts w:hint="eastAsia" w:ascii="Times New Roman" w:hAnsi="Times New Roman"/>
        </w:rPr>
        <w:t>件。</w:t>
      </w:r>
    </w:p>
    <w:p>
      <w:pPr>
        <w:snapToGrid w:val="0"/>
        <w:spacing w:line="360" w:lineRule="auto"/>
        <w:ind w:firstLine="640" w:firstLineChars="200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审查监督案件共</w:t>
      </w:r>
      <w:r>
        <w:rPr>
          <w:rFonts w:ascii="Times New Roman" w:hAnsi="Times New Roman"/>
        </w:rPr>
        <w:t>0</w:t>
      </w:r>
      <w:r>
        <w:rPr>
          <w:rFonts w:hint="eastAsia" w:ascii="Times New Roman" w:hAnsi="Times New Roman"/>
        </w:rPr>
        <w:t>件，占各类案件总数的</w:t>
      </w:r>
      <w:r>
        <w:rPr>
          <w:rFonts w:ascii="Times New Roman" w:hAnsi="Times New Roman"/>
        </w:rPr>
        <w:t>0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00</w:t>
      </w:r>
      <w:r>
        <w:rPr>
          <w:rFonts w:hint="eastAsia" w:ascii="Times New Roman" w:hAnsi="Times New Roman"/>
        </w:rPr>
        <w:t>%，其中有文书的案件共</w:t>
      </w:r>
      <w:r>
        <w:rPr>
          <w:rFonts w:ascii="Times New Roman" w:hAnsi="Times New Roman"/>
        </w:rPr>
        <w:t>0</w:t>
      </w:r>
      <w:r>
        <w:rPr>
          <w:rFonts w:hint="eastAsia" w:ascii="Times New Roman" w:hAnsi="Times New Roman"/>
        </w:rPr>
        <w:t>件，有结案文书的案件共</w:t>
      </w:r>
      <w:r>
        <w:rPr>
          <w:rFonts w:ascii="Times New Roman" w:hAnsi="Times New Roman"/>
        </w:rPr>
        <w:t>0</w:t>
      </w:r>
      <w:r>
        <w:rPr>
          <w:rFonts w:hint="eastAsia" w:ascii="Times New Roman" w:hAnsi="Times New Roman"/>
        </w:rPr>
        <w:t>件，有电子卷宗案件共</w:t>
      </w:r>
      <w:r>
        <w:rPr>
          <w:rFonts w:ascii="Times New Roman" w:hAnsi="Times New Roman"/>
        </w:rPr>
        <w:t>0</w:t>
      </w:r>
      <w:r>
        <w:rPr>
          <w:rFonts w:hint="eastAsia" w:ascii="Times New Roman" w:hAnsi="Times New Roman"/>
        </w:rPr>
        <w:t>件。</w:t>
      </w:r>
    </w:p>
    <w:p>
      <w:pPr>
        <w:snapToGrid w:val="0"/>
        <w:spacing w:line="360" w:lineRule="auto"/>
        <w:ind w:firstLine="643" w:firstLineChars="200"/>
        <w:jc w:val="center"/>
        <w:rPr>
          <w:rFonts w:ascii="Times New Roman" w:hAnsi="Times New Roman"/>
          <w:sz w:val="15"/>
        </w:rPr>
      </w:pPr>
      <w:r>
        <w:rPr>
          <w:rFonts w:hint="eastAsia" w:ascii="Times New Roman" w:hAnsi="Times New Roman"/>
          <w:b/>
          <w:bCs/>
          <w:kern w:val="0"/>
          <w:lang w:val="en-US" w:eastAsia="zh-CN"/>
        </w:rPr>
        <w:t>白城铁路运输</w:t>
      </w:r>
      <w:r>
        <w:rPr>
          <w:rFonts w:ascii="Times New Roman" w:hAnsi="Times New Roman"/>
          <w:b/>
          <w:bCs/>
          <w:kern w:val="0"/>
        </w:rPr>
        <w:t>法院</w:t>
      </w:r>
      <w:r>
        <w:rPr>
          <w:rFonts w:hint="eastAsia" w:ascii="Times New Roman" w:hAnsi="Times New Roman"/>
          <w:b/>
          <w:bCs/>
          <w:kern w:val="0"/>
        </w:rPr>
        <w:t>档案归档情况列表</w:t>
      </w:r>
    </w:p>
    <w:tbl>
      <w:tblPr>
        <w:tblStyle w:val="10"/>
        <w:tblW w:w="1025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8"/>
        <w:gridCol w:w="577"/>
        <w:gridCol w:w="617"/>
        <w:gridCol w:w="620"/>
        <w:gridCol w:w="490"/>
        <w:gridCol w:w="576"/>
        <w:gridCol w:w="1077"/>
        <w:gridCol w:w="576"/>
        <w:gridCol w:w="946"/>
        <w:gridCol w:w="882"/>
        <w:gridCol w:w="10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45" w:hRule="atLeast"/>
          <w:jc w:val="center"/>
        </w:trPr>
        <w:tc>
          <w:tcPr>
            <w:tcW w:w="10257" w:type="dxa"/>
            <w:gridSpan w:val="11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统计日期：2016-01-01到2016-1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-3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单位：件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48" w:type="dxa"/>
            <w:vMerge w:val="restart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法院</w:t>
            </w:r>
          </w:p>
        </w:tc>
        <w:tc>
          <w:tcPr>
            <w:tcW w:w="577" w:type="dxa"/>
            <w:vMerge w:val="restart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结案</w:t>
            </w:r>
          </w:p>
        </w:tc>
        <w:tc>
          <w:tcPr>
            <w:tcW w:w="1237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上诉</w:t>
            </w:r>
          </w:p>
        </w:tc>
        <w:tc>
          <w:tcPr>
            <w:tcW w:w="2719" w:type="dxa"/>
            <w:gridSpan w:val="4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应归档案件数</w:t>
            </w:r>
          </w:p>
        </w:tc>
        <w:tc>
          <w:tcPr>
            <w:tcW w:w="2876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归档案件中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848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77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  <w:tc>
          <w:tcPr>
            <w:tcW w:w="617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上诉未归档</w:t>
            </w:r>
          </w:p>
        </w:tc>
        <w:tc>
          <w:tcPr>
            <w:tcW w:w="62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上诉已归档</w:t>
            </w:r>
          </w:p>
        </w:tc>
        <w:tc>
          <w:tcPr>
            <w:tcW w:w="49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未归档</w:t>
            </w:r>
          </w:p>
        </w:tc>
        <w:tc>
          <w:tcPr>
            <w:tcW w:w="57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已归档</w:t>
            </w:r>
          </w:p>
        </w:tc>
        <w:tc>
          <w:tcPr>
            <w:tcW w:w="1077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归档率</w:t>
            </w:r>
          </w:p>
        </w:tc>
        <w:tc>
          <w:tcPr>
            <w:tcW w:w="57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归档</w:t>
            </w:r>
          </w:p>
        </w:tc>
        <w:tc>
          <w:tcPr>
            <w:tcW w:w="94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结案后3个月内归档</w:t>
            </w:r>
          </w:p>
        </w:tc>
        <w:tc>
          <w:tcPr>
            <w:tcW w:w="882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结案后6个月内归档</w:t>
            </w:r>
          </w:p>
        </w:tc>
        <w:tc>
          <w:tcPr>
            <w:tcW w:w="1048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结案后超过6个月归档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848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白城铁路运输法院</w:t>
            </w:r>
          </w:p>
        </w:tc>
        <w:tc>
          <w:tcPr>
            <w:tcW w:w="577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617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2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90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077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0.00%</w:t>
            </w:r>
          </w:p>
        </w:tc>
        <w:tc>
          <w:tcPr>
            <w:tcW w:w="576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946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882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48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</w:t>
            </w:r>
          </w:p>
        </w:tc>
      </w:tr>
    </w:tbl>
    <w:p>
      <w:pPr>
        <w:snapToGrid w:val="0"/>
        <w:spacing w:line="360" w:lineRule="auto"/>
        <w:ind w:firstLine="707" w:firstLineChars="221"/>
        <w:jc w:val="left"/>
        <w:rPr>
          <w:rFonts w:ascii="Times New Roman" w:hAnsi="Times New Roman"/>
        </w:rPr>
      </w:pPr>
    </w:p>
    <w:p>
      <w:pPr>
        <w:snapToGrid w:val="0"/>
        <w:spacing w:line="360" w:lineRule="auto"/>
        <w:ind w:firstLine="710" w:firstLineChars="221"/>
        <w:jc w:val="left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（</w:t>
      </w:r>
      <w:r>
        <w:rPr>
          <w:rFonts w:hint="eastAsia" w:ascii="楷体" w:hAnsi="楷体" w:eastAsia="楷体"/>
          <w:b/>
          <w:lang w:val="en-US" w:eastAsia="zh-CN"/>
        </w:rPr>
        <w:t>七</w:t>
      </w:r>
      <w:r>
        <w:rPr>
          <w:rFonts w:hint="eastAsia" w:ascii="楷体" w:hAnsi="楷体" w:eastAsia="楷体"/>
          <w:b/>
        </w:rPr>
        <w:t>）法官办案情况</w:t>
      </w:r>
    </w:p>
    <w:p>
      <w:pPr>
        <w:spacing w:line="360" w:lineRule="auto"/>
        <w:ind w:firstLine="640" w:firstLineChars="200"/>
        <w:rPr>
          <w:rFonts w:hAnsi="Times New Roman"/>
        </w:rPr>
      </w:pPr>
      <w:r>
        <w:rPr>
          <w:rFonts w:ascii="Times New Roman" w:hAnsi="Times New Roman"/>
        </w:rPr>
        <w:t>2016年1-1</w:t>
      </w:r>
      <w:r>
        <w:rPr>
          <w:rFonts w:hint="eastAsia" w:ascii="Times New Roman" w:hAnsi="Times New Roman"/>
          <w:lang w:val="en-US" w:eastAsia="zh-CN"/>
        </w:rPr>
        <w:t>2</w:t>
      </w:r>
      <w:r>
        <w:rPr>
          <w:rFonts w:ascii="Times New Roman" w:hAnsi="Times New Roman"/>
        </w:rPr>
        <w:t>月份</w:t>
      </w:r>
      <w:r>
        <w:rPr>
          <w:rFonts w:hint="eastAsia" w:hAnsi="Times New Roman"/>
        </w:rPr>
        <w:t>本院</w:t>
      </w:r>
      <w:r>
        <w:rPr>
          <w:rFonts w:hAnsi="Times New Roman"/>
        </w:rPr>
        <w:t>员额法官人均受案</w:t>
      </w:r>
      <w:r>
        <w:rPr>
          <w:rFonts w:hint="eastAsia" w:ascii="Times New Roman" w:hAnsi="Times New Roman"/>
          <w:lang w:val="en-US" w:eastAsia="zh-CN"/>
        </w:rPr>
        <w:t>4.43</w:t>
      </w:r>
      <w:r>
        <w:rPr>
          <w:rFonts w:hAnsi="Times New Roman"/>
        </w:rPr>
        <w:t>件，人均结案</w:t>
      </w:r>
      <w:r>
        <w:rPr>
          <w:rFonts w:hint="eastAsia" w:ascii="Times New Roman" w:hAnsi="Times New Roman"/>
          <w:lang w:val="en-US" w:eastAsia="zh-CN"/>
        </w:rPr>
        <w:t>4.29</w:t>
      </w:r>
      <w:r>
        <w:rPr>
          <w:rFonts w:hAnsi="Times New Roman"/>
        </w:rPr>
        <w:t>件，</w:t>
      </w:r>
      <w:r>
        <w:rPr>
          <w:rFonts w:hint="eastAsia" w:hAnsi="Times New Roman"/>
        </w:rPr>
        <w:t>本院</w:t>
      </w:r>
      <w:r>
        <w:rPr>
          <w:rFonts w:hint="eastAsia" w:hAnsi="Times New Roman"/>
          <w:lang w:val="en-US" w:eastAsia="zh-CN"/>
        </w:rPr>
        <w:t>具有审判职称的</w:t>
      </w:r>
      <w:r>
        <w:rPr>
          <w:rFonts w:hint="eastAsia" w:hAnsi="Times New Roman"/>
        </w:rPr>
        <w:t>共</w:t>
      </w:r>
      <w:r>
        <w:rPr>
          <w:rFonts w:hint="eastAsia" w:ascii="Times New Roman" w:hAnsi="Times New Roman"/>
          <w:lang w:val="en-US" w:eastAsia="zh-CN"/>
        </w:rPr>
        <w:t>3</w:t>
      </w:r>
      <w:r>
        <w:rPr>
          <w:rFonts w:hint="eastAsia" w:hAnsi="Times New Roman"/>
        </w:rPr>
        <w:t>位</w:t>
      </w:r>
      <w:r>
        <w:rPr>
          <w:rFonts w:hAnsi="Times New Roman"/>
        </w:rPr>
        <w:t>领导受案</w:t>
      </w:r>
      <w:r>
        <w:rPr>
          <w:rFonts w:hint="eastAsia" w:ascii="Times New Roman" w:hAnsi="Times New Roman"/>
          <w:lang w:val="en-US" w:eastAsia="zh-CN"/>
        </w:rPr>
        <w:t>8</w:t>
      </w:r>
      <w:r>
        <w:rPr>
          <w:rFonts w:hAnsi="Times New Roman"/>
        </w:rPr>
        <w:t>件，人均受案</w:t>
      </w:r>
      <w:r>
        <w:rPr>
          <w:rFonts w:hint="eastAsia" w:ascii="Times New Roman" w:hAnsi="Times New Roman"/>
          <w:lang w:val="en-US" w:eastAsia="zh-CN"/>
        </w:rPr>
        <w:t>2.67</w:t>
      </w:r>
      <w:r>
        <w:rPr>
          <w:rFonts w:hAnsi="Times New Roman"/>
        </w:rPr>
        <w:t>件，结案</w:t>
      </w:r>
      <w:r>
        <w:rPr>
          <w:rFonts w:hint="eastAsia" w:ascii="Times New Roman" w:hAnsi="Times New Roman"/>
          <w:lang w:val="en-US" w:eastAsia="zh-CN"/>
        </w:rPr>
        <w:t>8</w:t>
      </w:r>
      <w:r>
        <w:rPr>
          <w:rFonts w:hAnsi="Times New Roman"/>
        </w:rPr>
        <w:t>件，人均结案</w:t>
      </w:r>
      <w:r>
        <w:rPr>
          <w:rFonts w:hint="eastAsia" w:ascii="Times New Roman" w:hAnsi="Times New Roman"/>
          <w:lang w:val="en-US" w:eastAsia="zh-CN"/>
        </w:rPr>
        <w:t>2.67</w:t>
      </w:r>
      <w:r>
        <w:rPr>
          <w:rFonts w:hAnsi="Times New Roman"/>
        </w:rPr>
        <w:t>件。</w:t>
      </w:r>
    </w:p>
    <w:p>
      <w:pPr>
        <w:snapToGrid w:val="0"/>
        <w:spacing w:line="360" w:lineRule="auto"/>
        <w:ind w:firstLine="710" w:firstLineChars="221"/>
        <w:jc w:val="left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（</w:t>
      </w:r>
      <w:r>
        <w:rPr>
          <w:rFonts w:hint="eastAsia" w:ascii="楷体" w:hAnsi="楷体" w:eastAsia="楷体"/>
          <w:b/>
          <w:lang w:val="en-US" w:eastAsia="zh-CN"/>
        </w:rPr>
        <w:t>八</w:t>
      </w:r>
      <w:r>
        <w:rPr>
          <w:rFonts w:hint="eastAsia" w:ascii="楷体" w:hAnsi="楷体" w:eastAsia="楷体"/>
          <w:b/>
        </w:rPr>
        <w:t>）电子法院应用情况</w:t>
      </w:r>
    </w:p>
    <w:p>
      <w:pPr>
        <w:spacing w:line="360" w:lineRule="auto"/>
        <w:ind w:firstLine="640" w:firstLineChars="200"/>
        <w:rPr>
          <w:rFonts w:hint="eastAsia" w:hAnsi="Times New Roman"/>
        </w:rPr>
      </w:pPr>
      <w:r>
        <w:rPr>
          <w:rFonts w:hint="eastAsia" w:ascii="Times New Roman" w:hAnsi="Times New Roman"/>
        </w:rPr>
        <w:t>2016年1月至1</w:t>
      </w:r>
      <w:r>
        <w:rPr>
          <w:rFonts w:hint="eastAsia" w:ascii="Times New Roman" w:hAnsi="Times New Roman"/>
          <w:lang w:val="en-US" w:eastAsia="zh-CN"/>
        </w:rPr>
        <w:t>2</w:t>
      </w:r>
      <w:r>
        <w:rPr>
          <w:rFonts w:hint="eastAsia" w:ascii="Times New Roman" w:hAnsi="Times New Roman"/>
        </w:rPr>
        <w:t>月我院电子法院网上立案</w:t>
      </w:r>
      <w:r>
        <w:rPr>
          <w:rFonts w:hint="eastAsia" w:ascii="Times New Roman" w:hAnsi="Times New Roman"/>
          <w:lang w:val="en-US" w:eastAsia="zh-CN"/>
        </w:rPr>
        <w:t>30</w:t>
      </w:r>
      <w:r>
        <w:rPr>
          <w:rFonts w:hint="eastAsia" w:ascii="Times New Roman" w:hAnsi="Times New Roman"/>
        </w:rPr>
        <w:t>件，网上缴费0件，电子送达0件，网上阅卷0件，云会议0件，证据交换0件，审诉辩0件。</w:t>
      </w:r>
    </w:p>
    <w:sectPr>
      <w:headerReference r:id="rId4" w:type="default"/>
      <w:footerReference r:id="rId5" w:type="default"/>
      <w:pgSz w:w="11906" w:h="16838"/>
      <w:pgMar w:top="1588" w:right="1418" w:bottom="1588" w:left="1418" w:header="680" w:footer="680" w:gutter="0"/>
      <w:pgNumType w:fmt="numberInDash" w:start="1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ABCDEE+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BCDEE+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BCDEE+黑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BCDEE+Calibri">
    <w:altName w:val="Microsoft JhengHei Ligh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BCDEE+楷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JhengHei Light">
    <w:panose1 w:val="020B0304030504040204"/>
    <w:charset w:val="86"/>
    <w:family w:val="auto"/>
    <w:pitch w:val="default"/>
    <w:sig w:usb0="800002EF" w:usb1="28CFFCFB" w:usb2="00000016" w:usb3="00000000" w:csb0="203E01B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/>
        <w:sz w:val="28"/>
        <w:szCs w:val="28"/>
      </w:rPr>
    </w:pP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99110" cy="329565"/>
              <wp:effectExtent l="0" t="0" r="0" b="0"/>
              <wp:wrapNone/>
              <wp:docPr id="2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110" cy="329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25.95pt;width:39.3pt;mso-position-horizontal:center;mso-position-horizontal-relative:margin;z-index:251660288;mso-width-relative:page;mso-height-relative:page;" filled="f" stroked="f" coordsize="21600,21600" o:gfxdata="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H6yhUPUAAAAAwEAAA8AAAAA&#10;AAAAAQAgAAAAIgAAAGRycy9kb3ducmV2LnhtbFBLAQIUABQAAAAIAIdO4kBgcPSGpgEAACwDAAAO&#10;AAAAAAAAAAEAIAAAACM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宋体"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6"/>
        <w:rPr>
          <w:szCs w:val="18"/>
        </w:rPr>
      </w:pPr>
      <w:r>
        <w:rPr>
          <w:rStyle w:val="9"/>
          <w:szCs w:val="18"/>
        </w:rPr>
        <w:footnoteRef/>
      </w:r>
      <w:r>
        <w:rPr>
          <w:szCs w:val="18"/>
        </w:rPr>
        <w:t xml:space="preserve"> </w:t>
      </w:r>
      <w:r>
        <w:rPr>
          <w:rFonts w:hint="eastAsia"/>
          <w:szCs w:val="18"/>
        </w:rPr>
        <w:t>受理=旧存+新收。</w:t>
      </w:r>
    </w:p>
  </w:footnote>
  <w:footnote w:id="1">
    <w:p>
      <w:pPr>
        <w:pStyle w:val="6"/>
        <w:rPr>
          <w:szCs w:val="18"/>
        </w:rPr>
      </w:pPr>
      <w:r>
        <w:rPr>
          <w:rStyle w:val="9"/>
          <w:szCs w:val="18"/>
        </w:rPr>
        <w:footnoteRef/>
      </w:r>
      <w:r>
        <w:rPr>
          <w:szCs w:val="18"/>
        </w:rPr>
        <w:t xml:space="preserve"> </w:t>
      </w:r>
      <w:r>
        <w:rPr>
          <w:rFonts w:hint="eastAsia"/>
          <w:szCs w:val="18"/>
        </w:rPr>
        <w:t>为数字法院应用业务系统及执行新系统数据，统计区间2016年1月1日至2016年1</w:t>
      </w:r>
      <w:r>
        <w:rPr>
          <w:rFonts w:hint="eastAsia"/>
          <w:szCs w:val="18"/>
          <w:lang w:val="en-US" w:eastAsia="zh-CN"/>
        </w:rPr>
        <w:t>2</w:t>
      </w:r>
      <w:r>
        <w:rPr>
          <w:rFonts w:hint="eastAsia"/>
          <w:szCs w:val="18"/>
        </w:rPr>
        <w:t>月3</w:t>
      </w:r>
      <w:r>
        <w:rPr>
          <w:rFonts w:hint="eastAsia"/>
          <w:szCs w:val="18"/>
          <w:lang w:val="en-US" w:eastAsia="zh-CN"/>
        </w:rPr>
        <w:t>1</w:t>
      </w:r>
      <w:r>
        <w:rPr>
          <w:rFonts w:hint="eastAsia"/>
          <w:szCs w:val="18"/>
        </w:rPr>
        <w:t>日，数据提取时间为201</w:t>
      </w:r>
      <w:r>
        <w:rPr>
          <w:rFonts w:hint="eastAsia"/>
          <w:szCs w:val="18"/>
          <w:lang w:val="en-US" w:eastAsia="zh-CN"/>
        </w:rPr>
        <w:t>7</w:t>
      </w:r>
      <w:r>
        <w:rPr>
          <w:rFonts w:hint="eastAsia"/>
          <w:szCs w:val="18"/>
        </w:rPr>
        <w:t>年1月</w:t>
      </w:r>
      <w:r>
        <w:rPr>
          <w:rFonts w:hint="eastAsia"/>
          <w:szCs w:val="18"/>
          <w:lang w:val="en-US" w:eastAsia="zh-CN"/>
        </w:rPr>
        <w:t>4</w:t>
      </w:r>
      <w:r>
        <w:rPr>
          <w:rFonts w:hint="eastAsia"/>
          <w:szCs w:val="18"/>
        </w:rPr>
        <w:t>日。本文数据按照四舍五入法,保留到小数点后面两位数,尾数为0的去掉,如11.00为11、11.10为11.1。</w:t>
      </w:r>
    </w:p>
  </w:footnote>
  <w:footnote w:id="2">
    <w:p>
      <w:pPr>
        <w:pStyle w:val="6"/>
      </w:pPr>
      <w:r>
        <w:rPr>
          <w:rStyle w:val="9"/>
        </w:rPr>
        <w:footnoteRef/>
      </w:r>
      <w:r>
        <w:t xml:space="preserve"> </w:t>
      </w:r>
      <w:r>
        <w:rPr>
          <w:rFonts w:hint="eastAsia"/>
        </w:rPr>
        <w:t>数据来源数字法院业务应用系统。</w:t>
      </w:r>
    </w:p>
  </w:footnote>
  <w:footnote w:id="3">
    <w:p>
      <w:pPr>
        <w:pStyle w:val="6"/>
        <w:rPr>
          <w:rFonts w:cs="Times New Roman"/>
        </w:rPr>
      </w:pPr>
      <w:r>
        <w:rPr>
          <w:rStyle w:val="9"/>
          <w:rFonts w:cs="Times New Roman"/>
          <w:sz w:val="18"/>
          <w:szCs w:val="18"/>
        </w:rPr>
        <w:footnoteRef/>
      </w:r>
      <w:r>
        <w:rPr>
          <w:rFonts w:hint="eastAsia"/>
          <w:sz w:val="18"/>
          <w:szCs w:val="18"/>
        </w:rPr>
        <w:t>一审服判息诉率=1-（上诉案件数∕一审结案数）</w:t>
      </w:r>
    </w:p>
  </w:footnote>
  <w:footnote w:id="4">
    <w:p>
      <w:pPr>
        <w:pStyle w:val="6"/>
        <w:rPr>
          <w:szCs w:val="18"/>
        </w:rPr>
      </w:pPr>
      <w:r>
        <w:rPr>
          <w:rStyle w:val="9"/>
          <w:szCs w:val="18"/>
        </w:rPr>
        <w:footnoteRef/>
      </w:r>
      <w:r>
        <w:rPr>
          <w:rFonts w:hint="eastAsia"/>
          <w:szCs w:val="18"/>
        </w:rPr>
        <w:t>数据来源于中国裁判文书网。</w:t>
      </w:r>
    </w:p>
  </w:footnote>
  <w:footnote w:id="5">
    <w:p>
      <w:pPr>
        <w:pStyle w:val="6"/>
        <w:rPr>
          <w:rFonts w:ascii="Calibri" w:hAnsi="Calibri"/>
          <w:szCs w:val="18"/>
        </w:rPr>
      </w:pPr>
      <w:r>
        <w:rPr>
          <w:rStyle w:val="9"/>
          <w:szCs w:val="18"/>
        </w:rPr>
        <w:footnoteRef/>
      </w:r>
      <w:r>
        <w:rPr>
          <w:szCs w:val="18"/>
        </w:rPr>
        <w:t xml:space="preserve"> </w:t>
      </w:r>
      <w:r>
        <w:rPr>
          <w:rFonts w:hint="eastAsia"/>
          <w:szCs w:val="18"/>
        </w:rPr>
        <w:t>上网率计算方式：(中国裁判文书网上统计的上网数（重复上网文书不计算在内）+民事调解数）</w:t>
      </w:r>
      <w:r>
        <w:rPr>
          <w:rFonts w:ascii="Calibri" w:hAnsi="Calibri"/>
          <w:szCs w:val="18"/>
        </w:rPr>
        <w:t>/</w:t>
      </w:r>
      <w:r>
        <w:rPr>
          <w:rFonts w:hint="eastAsia" w:ascii="Calibri" w:hAnsi="Calibri"/>
          <w:szCs w:val="18"/>
        </w:rPr>
        <w:t>结案数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FD"/>
    <w:rsid w:val="000004C4"/>
    <w:rsid w:val="000161A0"/>
    <w:rsid w:val="000234CA"/>
    <w:rsid w:val="00037097"/>
    <w:rsid w:val="00041E1E"/>
    <w:rsid w:val="00050F79"/>
    <w:rsid w:val="00054AF2"/>
    <w:rsid w:val="0008122F"/>
    <w:rsid w:val="00091134"/>
    <w:rsid w:val="00094617"/>
    <w:rsid w:val="000A04FD"/>
    <w:rsid w:val="000E4C3B"/>
    <w:rsid w:val="000E546F"/>
    <w:rsid w:val="00102195"/>
    <w:rsid w:val="00106357"/>
    <w:rsid w:val="00114D3A"/>
    <w:rsid w:val="00160687"/>
    <w:rsid w:val="001652DA"/>
    <w:rsid w:val="0016617C"/>
    <w:rsid w:val="00174D2F"/>
    <w:rsid w:val="001830F3"/>
    <w:rsid w:val="001958D9"/>
    <w:rsid w:val="001A56C5"/>
    <w:rsid w:val="001C1C6B"/>
    <w:rsid w:val="001E409D"/>
    <w:rsid w:val="001E51EA"/>
    <w:rsid w:val="001E6FB6"/>
    <w:rsid w:val="002134B6"/>
    <w:rsid w:val="0021575D"/>
    <w:rsid w:val="002247AF"/>
    <w:rsid w:val="002534FB"/>
    <w:rsid w:val="00283692"/>
    <w:rsid w:val="002A3F80"/>
    <w:rsid w:val="002D638F"/>
    <w:rsid w:val="002F647C"/>
    <w:rsid w:val="00301CDE"/>
    <w:rsid w:val="00304AB7"/>
    <w:rsid w:val="00306138"/>
    <w:rsid w:val="00316F82"/>
    <w:rsid w:val="003256CE"/>
    <w:rsid w:val="00326132"/>
    <w:rsid w:val="003307DC"/>
    <w:rsid w:val="003360BA"/>
    <w:rsid w:val="00337A34"/>
    <w:rsid w:val="0034245C"/>
    <w:rsid w:val="003426B4"/>
    <w:rsid w:val="00384E9B"/>
    <w:rsid w:val="003F0E42"/>
    <w:rsid w:val="003F4C4F"/>
    <w:rsid w:val="003F50D4"/>
    <w:rsid w:val="003F635C"/>
    <w:rsid w:val="00410BE1"/>
    <w:rsid w:val="00414BC6"/>
    <w:rsid w:val="004570D6"/>
    <w:rsid w:val="00464012"/>
    <w:rsid w:val="00470091"/>
    <w:rsid w:val="004710B6"/>
    <w:rsid w:val="00471B5D"/>
    <w:rsid w:val="00482DB9"/>
    <w:rsid w:val="00491AB8"/>
    <w:rsid w:val="00491EE4"/>
    <w:rsid w:val="004A5B7B"/>
    <w:rsid w:val="004D41BF"/>
    <w:rsid w:val="004D48AC"/>
    <w:rsid w:val="004E0354"/>
    <w:rsid w:val="0050054D"/>
    <w:rsid w:val="005032DD"/>
    <w:rsid w:val="005130C6"/>
    <w:rsid w:val="00527D8A"/>
    <w:rsid w:val="00533D10"/>
    <w:rsid w:val="00540F4B"/>
    <w:rsid w:val="005520DF"/>
    <w:rsid w:val="00553A2F"/>
    <w:rsid w:val="00566CBD"/>
    <w:rsid w:val="005807EB"/>
    <w:rsid w:val="005B077C"/>
    <w:rsid w:val="005D6186"/>
    <w:rsid w:val="005E6017"/>
    <w:rsid w:val="005E7223"/>
    <w:rsid w:val="005E7D1A"/>
    <w:rsid w:val="005F4C16"/>
    <w:rsid w:val="00643BFB"/>
    <w:rsid w:val="00665DE2"/>
    <w:rsid w:val="0067190E"/>
    <w:rsid w:val="00685017"/>
    <w:rsid w:val="006919F4"/>
    <w:rsid w:val="00695508"/>
    <w:rsid w:val="006A21BA"/>
    <w:rsid w:val="006A6233"/>
    <w:rsid w:val="006B2A4B"/>
    <w:rsid w:val="006C58E5"/>
    <w:rsid w:val="006D32ED"/>
    <w:rsid w:val="006E11E1"/>
    <w:rsid w:val="00702EC6"/>
    <w:rsid w:val="0073191E"/>
    <w:rsid w:val="00740BCA"/>
    <w:rsid w:val="00742307"/>
    <w:rsid w:val="0075069F"/>
    <w:rsid w:val="007509D2"/>
    <w:rsid w:val="00775677"/>
    <w:rsid w:val="0077656D"/>
    <w:rsid w:val="00776CC7"/>
    <w:rsid w:val="00790E9F"/>
    <w:rsid w:val="007C5FB5"/>
    <w:rsid w:val="008041F8"/>
    <w:rsid w:val="00827084"/>
    <w:rsid w:val="0084026C"/>
    <w:rsid w:val="0088201E"/>
    <w:rsid w:val="008E579E"/>
    <w:rsid w:val="008F2EF5"/>
    <w:rsid w:val="00936078"/>
    <w:rsid w:val="00947ACF"/>
    <w:rsid w:val="00952976"/>
    <w:rsid w:val="009624C0"/>
    <w:rsid w:val="0098574E"/>
    <w:rsid w:val="00994F47"/>
    <w:rsid w:val="009B78C1"/>
    <w:rsid w:val="00A03D02"/>
    <w:rsid w:val="00A254AF"/>
    <w:rsid w:val="00A3666B"/>
    <w:rsid w:val="00A52971"/>
    <w:rsid w:val="00A54181"/>
    <w:rsid w:val="00A55A92"/>
    <w:rsid w:val="00A659BA"/>
    <w:rsid w:val="00A9486F"/>
    <w:rsid w:val="00A9587C"/>
    <w:rsid w:val="00AB04A0"/>
    <w:rsid w:val="00AB2D13"/>
    <w:rsid w:val="00AB3D4B"/>
    <w:rsid w:val="00AB5E7F"/>
    <w:rsid w:val="00AC5FA2"/>
    <w:rsid w:val="00AD003A"/>
    <w:rsid w:val="00B03781"/>
    <w:rsid w:val="00B12638"/>
    <w:rsid w:val="00B22C4F"/>
    <w:rsid w:val="00B364A2"/>
    <w:rsid w:val="00B41364"/>
    <w:rsid w:val="00B5084D"/>
    <w:rsid w:val="00B53D10"/>
    <w:rsid w:val="00B646B8"/>
    <w:rsid w:val="00B704E0"/>
    <w:rsid w:val="00B862DF"/>
    <w:rsid w:val="00B9355F"/>
    <w:rsid w:val="00BA156C"/>
    <w:rsid w:val="00BA4B5A"/>
    <w:rsid w:val="00BB543E"/>
    <w:rsid w:val="00BE0F79"/>
    <w:rsid w:val="00BF1C0F"/>
    <w:rsid w:val="00BF7643"/>
    <w:rsid w:val="00C113FD"/>
    <w:rsid w:val="00C276BA"/>
    <w:rsid w:val="00C42521"/>
    <w:rsid w:val="00C51A5D"/>
    <w:rsid w:val="00C55278"/>
    <w:rsid w:val="00C64BC8"/>
    <w:rsid w:val="00C778AA"/>
    <w:rsid w:val="00C90604"/>
    <w:rsid w:val="00CA1A62"/>
    <w:rsid w:val="00CB0B4F"/>
    <w:rsid w:val="00CC0382"/>
    <w:rsid w:val="00CD220B"/>
    <w:rsid w:val="00CF2228"/>
    <w:rsid w:val="00D0399C"/>
    <w:rsid w:val="00D1144A"/>
    <w:rsid w:val="00D15FB9"/>
    <w:rsid w:val="00D179BC"/>
    <w:rsid w:val="00D90B59"/>
    <w:rsid w:val="00D9722C"/>
    <w:rsid w:val="00D97268"/>
    <w:rsid w:val="00DA39B6"/>
    <w:rsid w:val="00DB58F1"/>
    <w:rsid w:val="00DC7B9F"/>
    <w:rsid w:val="00E05421"/>
    <w:rsid w:val="00E16D5F"/>
    <w:rsid w:val="00E16FE3"/>
    <w:rsid w:val="00E273AE"/>
    <w:rsid w:val="00E34BBE"/>
    <w:rsid w:val="00E41A9B"/>
    <w:rsid w:val="00E43A96"/>
    <w:rsid w:val="00E7298B"/>
    <w:rsid w:val="00E75087"/>
    <w:rsid w:val="00E90BBF"/>
    <w:rsid w:val="00EA1B03"/>
    <w:rsid w:val="00EB2F9A"/>
    <w:rsid w:val="00EC3B86"/>
    <w:rsid w:val="00EC6D80"/>
    <w:rsid w:val="00EC723E"/>
    <w:rsid w:val="00EF3FBA"/>
    <w:rsid w:val="00F052F5"/>
    <w:rsid w:val="00F203A0"/>
    <w:rsid w:val="00F56602"/>
    <w:rsid w:val="00F600FE"/>
    <w:rsid w:val="00F641E4"/>
    <w:rsid w:val="00F66D69"/>
    <w:rsid w:val="00F70C68"/>
    <w:rsid w:val="00F87117"/>
    <w:rsid w:val="00F9739E"/>
    <w:rsid w:val="00FA048B"/>
    <w:rsid w:val="00FB4E36"/>
    <w:rsid w:val="00FF419C"/>
    <w:rsid w:val="00FF7878"/>
    <w:rsid w:val="0D0F6997"/>
    <w:rsid w:val="13F057CB"/>
    <w:rsid w:val="1EBC3AE1"/>
    <w:rsid w:val="2B0A0987"/>
    <w:rsid w:val="2DF15D20"/>
    <w:rsid w:val="38EA449F"/>
    <w:rsid w:val="4A0C2788"/>
    <w:rsid w:val="4C580FC5"/>
    <w:rsid w:val="5DDA5CEB"/>
    <w:rsid w:val="644345F5"/>
    <w:rsid w:val="76C0622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semiHidden="0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link w:val="16"/>
    <w:unhideWhenUsed/>
    <w:qFormat/>
    <w:uiPriority w:val="99"/>
    <w:pPr>
      <w:snapToGrid w:val="0"/>
      <w:jc w:val="left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footnote text"/>
    <w:basedOn w:val="1"/>
    <w:link w:val="14"/>
    <w:uiPriority w:val="99"/>
    <w:pPr>
      <w:snapToGrid w:val="0"/>
      <w:jc w:val="left"/>
    </w:pPr>
    <w:rPr>
      <w:sz w:val="18"/>
    </w:rPr>
  </w:style>
  <w:style w:type="character" w:styleId="8">
    <w:name w:val="endnote reference"/>
    <w:basedOn w:val="7"/>
    <w:unhideWhenUsed/>
    <w:qFormat/>
    <w:uiPriority w:val="99"/>
    <w:rPr>
      <w:vertAlign w:val="superscript"/>
    </w:rPr>
  </w:style>
  <w:style w:type="character" w:styleId="9">
    <w:name w:val="footnote reference"/>
    <w:qFormat/>
    <w:uiPriority w:val="0"/>
    <w:rPr>
      <w:vertAlign w:val="superscript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脚注文本 Char"/>
    <w:basedOn w:val="7"/>
    <w:link w:val="6"/>
    <w:qFormat/>
    <w:uiPriority w:val="99"/>
    <w:rPr>
      <w:rFonts w:ascii="仿宋_GB2312" w:hAnsi="宋体" w:eastAsia="仿宋_GB2312" w:cs="Times New Roman"/>
      <w:sz w:val="18"/>
      <w:szCs w:val="32"/>
    </w:rPr>
  </w:style>
  <w:style w:type="character" w:customStyle="1" w:styleId="15">
    <w:name w:val="批注框文本 Char"/>
    <w:basedOn w:val="7"/>
    <w:link w:val="3"/>
    <w:semiHidden/>
    <w:qFormat/>
    <w:uiPriority w:val="99"/>
    <w:rPr>
      <w:rFonts w:ascii="仿宋_GB2312" w:hAnsi="宋体" w:eastAsia="仿宋_GB2312" w:cs="Times New Roman"/>
      <w:sz w:val="18"/>
      <w:szCs w:val="18"/>
    </w:rPr>
  </w:style>
  <w:style w:type="character" w:customStyle="1" w:styleId="16">
    <w:name w:val="尾注文本 Char"/>
    <w:basedOn w:val="7"/>
    <w:link w:val="2"/>
    <w:semiHidden/>
    <w:qFormat/>
    <w:uiPriority w:val="99"/>
    <w:rPr>
      <w:rFonts w:ascii="仿宋_GB2312" w:hAnsi="宋体" w:eastAsia="仿宋_GB2312" w:cs="Times New Roman"/>
      <w:sz w:val="32"/>
      <w:szCs w:val="32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chart" Target="charts/chart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400" b="1" i="0" u="none" strike="noStrike" kern="1200" baseline="0">
                <a:solidFill>
                  <a:srgbClr val="000000"/>
                </a:solidFill>
                <a:latin typeface="仿宋" panose="02010609060101010101" pitchFamily="3" charset="-122"/>
                <a:ea typeface="仿宋" panose="02010609060101010101" pitchFamily="3" charset="-122"/>
                <a:cs typeface="仿宋" panose="02010609060101010101" pitchFamily="3" charset="-122"/>
              </a:defRPr>
            </a:pPr>
            <a:r>
              <a:rPr lang="zh-CN" altLang="en-US" sz="1400"/>
              <a:t>  </a:t>
            </a:r>
            <a:r>
              <a:rPr altLang="en-US" sz="1400"/>
              <a:t>白城铁路运输</a:t>
            </a:r>
            <a:r>
              <a:rPr lang="zh-CN" altLang="en-US" sz="1400"/>
              <a:t>法院收结案情况对比图</a:t>
            </a:r>
            <a:endParaRPr lang="zh-CN" altLang="en-US" sz="1400"/>
          </a:p>
        </c:rich>
      </c:tx>
      <c:layout>
        <c:manualLayout>
          <c:xMode val="edge"/>
          <c:yMode val="edge"/>
          <c:x val="0.237004273250077"/>
          <c:y val="0.00155357418557974"/>
        </c:manualLayout>
      </c:layout>
      <c:overlay val="0"/>
      <c:spPr>
        <a:noFill/>
        <a:ln w="1849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37007874015748"/>
          <c:y val="0.157907571522037"/>
          <c:w val="0.801912568306004"/>
          <c:h val="0.6232558139535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2016年1-12月份</c:v>
                </c:pt>
              </c:strCache>
            </c:strRef>
          </c:tx>
          <c:spPr>
            <a:solidFill>
              <a:srgbClr val="FF6600"/>
            </a:solidFill>
            <a:ln w="9246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Sheet1!$B$1:$F$1</c:f>
              <c:strCache>
                <c:ptCount val="5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  <c:pt idx="4">
                  <c:v> 总受案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</c:v>
                </c:pt>
                <c:pt idx="1">
                  <c:v>30</c:v>
                </c:pt>
                <c:pt idx="2">
                  <c:v>30</c:v>
                </c:pt>
                <c:pt idx="3">
                  <c:v>1</c:v>
                </c:pt>
                <c:pt idx="4">
                  <c:v>31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2015年1-12月份</c:v>
                </c:pt>
              </c:strCache>
            </c:strRef>
          </c:tx>
          <c:spPr>
            <a:solidFill>
              <a:srgbClr val="339966"/>
            </a:solidFill>
            <a:ln w="9246">
              <a:solidFill>
                <a:srgbClr val="FFFFFF"/>
              </a:solidFill>
              <a:prstDash val="solid"/>
            </a:ln>
          </c:spPr>
          <c:invertIfNegative val="1"/>
          <c:dLbls>
            <c:delete val="1"/>
          </c:dLbls>
          <c:cat>
            <c:strRef>
              <c:f>Sheet1!$B$1:$F$1</c:f>
              <c:strCache>
                <c:ptCount val="5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  <c:pt idx="4">
                  <c:v> 总受案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</c:v>
                </c:pt>
                <c:pt idx="1">
                  <c:v>26</c:v>
                </c:pt>
                <c:pt idx="2">
                  <c:v>26</c:v>
                </c:pt>
                <c:pt idx="3">
                  <c:v>1</c:v>
                </c:pt>
                <c:pt idx="4">
                  <c:v>27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6393216"/>
        <c:axId val="566416736"/>
      </c:barChart>
      <c:catAx>
        <c:axId val="56639321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2311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240" b="0" i="0" u="none" strike="noStrike" kern="1200" baseline="0">
                <a:solidFill>
                  <a:srgbClr val="000000"/>
                </a:solidFill>
                <a:latin typeface="楷体_GB2312"/>
                <a:ea typeface="楷体_GB2312"/>
                <a:cs typeface="楷体_GB2312"/>
              </a:defRPr>
            </a:pPr>
          </a:p>
        </c:txPr>
        <c:crossAx val="566416736"/>
        <c:crosses val="autoZero"/>
        <c:auto val="1"/>
        <c:lblAlgn val="ctr"/>
        <c:lblOffset val="100"/>
        <c:tickLblSkip val="2"/>
        <c:noMultiLvlLbl val="0"/>
      </c:catAx>
      <c:valAx>
        <c:axId val="566416736"/>
        <c:scaling>
          <c:orientation val="minMax"/>
        </c:scaling>
        <c:delete val="0"/>
        <c:axPos val="l"/>
        <c:majorGridlines>
          <c:spPr>
            <a:ln w="2311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in"/>
        <c:minorTickMark val="none"/>
        <c:tickLblPos val="nextTo"/>
        <c:spPr>
          <a:ln w="2311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/>
                </a:solidFill>
                <a:latin typeface="仿宋_GB2312" panose="02010609030101010101" pitchFamily="3" charset="-122"/>
                <a:ea typeface="仿宋_GB2312" panose="02010609030101010101" pitchFamily="3" charset="-122"/>
                <a:cs typeface="仿宋" panose="02010609060101010101" pitchFamily="3" charset="-122"/>
              </a:defRPr>
            </a:pPr>
          </a:p>
        </c:txPr>
        <c:crossAx val="5663932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9246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/>
                </a:solidFill>
                <a:latin typeface="仿宋_GB2312" panose="02010609030101010101" pitchFamily="3" charset="-122"/>
                <a:ea typeface="仿宋_GB2312" panose="02010609030101010101" pitchFamily="3" charset="-122"/>
                <a:cs typeface="仿宋" panose="02010609060101010101" pitchFamily="3" charset="-122"/>
              </a:defRPr>
            </a:pPr>
          </a:p>
        </c:txPr>
      </c:dTable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zh-CN" sz="1240" b="0" i="0" u="none" strike="noStrike" baseline="0">
          <a:solidFill>
            <a:srgbClr val="000000"/>
          </a:solidFill>
          <a:latin typeface="楷体_GB2312"/>
          <a:ea typeface="楷体_GB2312"/>
          <a:cs typeface="楷体_GB2312"/>
        </a:defRPr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4FC0E0-5AF7-4853-9EEB-F135E9BAFF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692</Words>
  <Characters>3950</Characters>
  <Lines>32</Lines>
  <Paragraphs>9</Paragraphs>
  <ScaleCrop>false</ScaleCrop>
  <LinksUpToDate>false</LinksUpToDate>
  <CharactersWithSpaces>4633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2016-11-30T10:57:00Z</dcterms:created>
  <dc:creator>hp</dc:creator>
  <cp:lastModifiedBy>lenovo</cp:lastModifiedBy>
  <cp:lastPrinted>2016-11-30T11:13:00Z</cp:lastPrinted>
  <dcterms:modified xsi:type="dcterms:W3CDTF">2017-01-09T02:23:02Z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