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BF" w:rsidRDefault="009208BF">
      <w:pPr>
        <w:ind w:left="0"/>
        <w:jc w:val="center"/>
        <w:rPr>
          <w:rFonts w:ascii="宋体"/>
          <w:b/>
          <w:bCs/>
          <w:color w:val="000000"/>
          <w:sz w:val="72"/>
          <w:szCs w:val="72"/>
        </w:rPr>
      </w:pPr>
      <w:r>
        <w:rPr>
          <w:rFonts w:ascii="宋体" w:hAnsi="宋体" w:cs="黑体" w:hint="eastAsia"/>
          <w:b/>
          <w:bCs/>
          <w:color w:val="000000"/>
          <w:sz w:val="72"/>
          <w:szCs w:val="72"/>
        </w:rPr>
        <w:t>白城铁路运输法院</w:t>
      </w:r>
    </w:p>
    <w:p w:rsidR="009208BF" w:rsidRDefault="009208BF">
      <w:pPr>
        <w:ind w:left="0"/>
        <w:jc w:val="center"/>
        <w:rPr>
          <w:rFonts w:ascii="宋体" w:cs="宋体"/>
          <w:b/>
          <w:color w:val="000000"/>
          <w:sz w:val="72"/>
          <w:szCs w:val="72"/>
        </w:rPr>
      </w:pPr>
      <w:r>
        <w:rPr>
          <w:rFonts w:ascii="宋体" w:hAnsi="宋体" w:cs="黑体" w:hint="eastAsia"/>
          <w:b/>
          <w:bCs/>
          <w:color w:val="000000"/>
          <w:sz w:val="72"/>
          <w:szCs w:val="72"/>
        </w:rPr>
        <w:t>审判态势分析</w:t>
      </w:r>
    </w:p>
    <w:p w:rsidR="009208BF" w:rsidRDefault="009208BF">
      <w:pPr>
        <w:spacing w:line="480" w:lineRule="auto"/>
        <w:jc w:val="center"/>
        <w:rPr>
          <w:rFonts w:ascii="宋体" w:cs="宋体"/>
          <w:color w:val="000000"/>
          <w:sz w:val="32"/>
          <w:szCs w:val="32"/>
        </w:rPr>
      </w:pPr>
      <w:r>
        <w:rPr>
          <w:rFonts w:ascii="宋体" w:hAnsi="宋体" w:cs="宋体"/>
          <w:color w:val="000000"/>
          <w:sz w:val="32"/>
          <w:szCs w:val="32"/>
        </w:rPr>
        <w:t xml:space="preserve"> </w:t>
      </w:r>
    </w:p>
    <w:p w:rsidR="009208BF" w:rsidRDefault="009208BF">
      <w:pPr>
        <w:spacing w:line="480" w:lineRule="auto"/>
        <w:jc w:val="center"/>
        <w:rPr>
          <w:rFonts w:ascii="宋体" w:cs="宋体"/>
          <w:color w:val="000000"/>
          <w:sz w:val="32"/>
          <w:szCs w:val="32"/>
        </w:rPr>
      </w:pPr>
      <w:r>
        <w:rPr>
          <w:rFonts w:ascii="宋体" w:hAnsi="宋体" w:cs="宋体"/>
          <w:color w:val="000000"/>
          <w:sz w:val="32"/>
          <w:szCs w:val="32"/>
        </w:rPr>
        <w:t>[2017]9</w:t>
      </w:r>
      <w:r>
        <w:rPr>
          <w:rFonts w:ascii="宋体" w:hAnsi="宋体" w:cs="宋体" w:hint="eastAsia"/>
          <w:color w:val="000000"/>
          <w:sz w:val="32"/>
          <w:szCs w:val="32"/>
        </w:rPr>
        <w:t>期</w:t>
      </w:r>
    </w:p>
    <w:p w:rsidR="009208BF" w:rsidRDefault="009208BF">
      <w:pPr>
        <w:spacing w:line="480" w:lineRule="auto"/>
        <w:ind w:left="0"/>
        <w:jc w:val="center"/>
        <w:rPr>
          <w:b/>
          <w:bCs/>
          <w:color w:val="000000"/>
          <w:sz w:val="28"/>
        </w:rPr>
      </w:pPr>
      <w:r>
        <w:rPr>
          <w:noProof/>
        </w:rPr>
        <w:pict>
          <v:line id="直线 2" o:spid="_x0000_s1027" style="position:absolute;left:0;text-align:left;z-index:251658240;mso-position-vertical-relative:page" from="0,228pt" to="420.4pt,228pt" o:gfxdata="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8Lxl/1AAAAAgBAAAPAAAAAAAAAAEAIAAAACIAAABk&#10;cnMvZG93bnJldi54bWxQSwECFAAUAAAACACHTuJAgFwU2tEBAACYAwAADgAAAAAAAAABACAAAAAj&#10;AQAAZHJzL2Uyb0RvYy54bWxQSwUGAAAAAAYABgBZAQAAZgUAAAAA&#10;" strokeweight="2.25pt">
            <v:stroke joinstyle="miter"/>
            <w10:wrap anchory="page"/>
          </v:line>
        </w:pict>
      </w:r>
    </w:p>
    <w:p w:rsidR="009208BF" w:rsidRDefault="009208BF">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一、收结案情况</w:t>
      </w:r>
    </w:p>
    <w:p w:rsidR="009208BF" w:rsidRDefault="009208BF">
      <w:pPr>
        <w:snapToGrid w:val="0"/>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（一）总体收结案情况</w:t>
      </w:r>
    </w:p>
    <w:p w:rsidR="009208BF" w:rsidRDefault="009208BF" w:rsidP="00473390">
      <w:pPr>
        <w:snapToGrid w:val="0"/>
        <w:spacing w:line="360" w:lineRule="auto"/>
        <w:ind w:firstLineChars="200" w:firstLine="640"/>
        <w:jc w:val="left"/>
        <w:rPr>
          <w:rFonts w:ascii="仿宋" w:eastAsia="仿宋" w:hAnsi="仿宋"/>
          <w:sz w:val="32"/>
          <w:szCs w:val="32"/>
        </w:rPr>
      </w:pPr>
      <w:r>
        <w:rPr>
          <w:rFonts w:ascii="仿宋" w:eastAsia="仿宋" w:hAnsi="仿宋"/>
          <w:sz w:val="32"/>
          <w:szCs w:val="32"/>
        </w:rPr>
        <w:t>1-9</w:t>
      </w:r>
      <w:r>
        <w:rPr>
          <w:rFonts w:ascii="仿宋" w:eastAsia="仿宋" w:hAnsi="仿宋" w:cs="宋体" w:hint="eastAsia"/>
          <w:sz w:val="32"/>
          <w:szCs w:val="32"/>
        </w:rPr>
        <w:t>月份</w:t>
      </w:r>
      <w:r>
        <w:rPr>
          <w:rFonts w:ascii="仿宋" w:eastAsia="仿宋" w:hAnsi="仿宋" w:hint="eastAsia"/>
          <w:sz w:val="32"/>
          <w:szCs w:val="32"/>
        </w:rPr>
        <w:t>共受理</w:t>
      </w:r>
      <w:r>
        <w:rPr>
          <w:rStyle w:val="FootnoteReference"/>
          <w:rFonts w:ascii="仿宋" w:eastAsia="仿宋" w:hAnsi="仿宋"/>
          <w:sz w:val="32"/>
          <w:szCs w:val="32"/>
        </w:rPr>
        <w:footnoteReference w:id="1"/>
      </w:r>
      <w:r>
        <w:rPr>
          <w:rFonts w:ascii="仿宋" w:eastAsia="仿宋" w:hAnsi="仿宋" w:hint="eastAsia"/>
          <w:sz w:val="32"/>
          <w:szCs w:val="32"/>
        </w:rPr>
        <w:t>各类案件</w:t>
      </w:r>
      <w:r>
        <w:rPr>
          <w:rFonts w:ascii="仿宋" w:eastAsia="仿宋" w:hAnsi="仿宋"/>
          <w:sz w:val="32"/>
          <w:szCs w:val="32"/>
        </w:rPr>
        <w:t>46</w:t>
      </w:r>
      <w:r>
        <w:rPr>
          <w:rFonts w:ascii="仿宋" w:eastAsia="仿宋" w:hAnsi="仿宋" w:hint="eastAsia"/>
          <w:sz w:val="32"/>
          <w:szCs w:val="32"/>
        </w:rPr>
        <w:t>件</w:t>
      </w:r>
      <w:r>
        <w:rPr>
          <w:rStyle w:val="FootnoteReference"/>
          <w:rFonts w:ascii="仿宋" w:eastAsia="仿宋" w:hAnsi="仿宋"/>
          <w:sz w:val="32"/>
          <w:szCs w:val="32"/>
        </w:rPr>
        <w:footnoteReference w:id="2"/>
      </w:r>
      <w:r>
        <w:rPr>
          <w:rFonts w:ascii="仿宋" w:eastAsia="仿宋" w:hAnsi="仿宋" w:hint="eastAsia"/>
          <w:sz w:val="32"/>
          <w:szCs w:val="32"/>
        </w:rPr>
        <w:t>，同比增加</w:t>
      </w:r>
      <w:r>
        <w:rPr>
          <w:rFonts w:ascii="仿宋" w:eastAsia="仿宋" w:hAnsi="仿宋"/>
          <w:sz w:val="32"/>
          <w:szCs w:val="32"/>
        </w:rPr>
        <w:t>20</w:t>
      </w:r>
      <w:r>
        <w:rPr>
          <w:rFonts w:ascii="仿宋" w:eastAsia="仿宋" w:hAnsi="仿宋" w:hint="eastAsia"/>
          <w:sz w:val="32"/>
          <w:szCs w:val="32"/>
        </w:rPr>
        <w:t>件，上升</w:t>
      </w:r>
      <w:r>
        <w:rPr>
          <w:rFonts w:ascii="仿宋" w:eastAsia="仿宋" w:hAnsi="仿宋"/>
          <w:sz w:val="32"/>
          <w:szCs w:val="32"/>
        </w:rPr>
        <w:t>76.92%</w:t>
      </w:r>
      <w:r>
        <w:rPr>
          <w:rFonts w:ascii="仿宋" w:eastAsia="仿宋" w:hAnsi="仿宋" w:hint="eastAsia"/>
          <w:sz w:val="32"/>
          <w:szCs w:val="32"/>
        </w:rPr>
        <w:t>。其中旧存</w:t>
      </w:r>
      <w:r>
        <w:rPr>
          <w:rFonts w:ascii="仿宋" w:eastAsia="仿宋" w:hAnsi="仿宋"/>
          <w:sz w:val="32"/>
          <w:szCs w:val="32"/>
        </w:rPr>
        <w:t>1</w:t>
      </w:r>
      <w:r>
        <w:rPr>
          <w:rFonts w:ascii="仿宋" w:eastAsia="仿宋" w:hAnsi="仿宋" w:hint="eastAsia"/>
          <w:sz w:val="32"/>
          <w:szCs w:val="32"/>
        </w:rPr>
        <w:t>件，同比无变化</w:t>
      </w:r>
      <w:r>
        <w:rPr>
          <w:rFonts w:ascii="仿宋" w:eastAsia="仿宋" w:hAnsi="仿宋"/>
          <w:sz w:val="32"/>
          <w:szCs w:val="32"/>
        </w:rPr>
        <w:t>;</w:t>
      </w:r>
      <w:r>
        <w:rPr>
          <w:rFonts w:ascii="仿宋" w:eastAsia="仿宋" w:hAnsi="仿宋" w:hint="eastAsia"/>
          <w:sz w:val="32"/>
          <w:szCs w:val="32"/>
        </w:rPr>
        <w:t>新收</w:t>
      </w:r>
      <w:r>
        <w:rPr>
          <w:rFonts w:ascii="仿宋" w:eastAsia="仿宋" w:hAnsi="仿宋"/>
          <w:sz w:val="32"/>
          <w:szCs w:val="32"/>
        </w:rPr>
        <w:t>45</w:t>
      </w:r>
      <w:r>
        <w:rPr>
          <w:rFonts w:ascii="仿宋" w:eastAsia="仿宋" w:hAnsi="仿宋" w:hint="eastAsia"/>
          <w:sz w:val="32"/>
          <w:szCs w:val="32"/>
        </w:rPr>
        <w:t>件，同比增加</w:t>
      </w:r>
      <w:r>
        <w:rPr>
          <w:rFonts w:ascii="仿宋" w:eastAsia="仿宋" w:hAnsi="仿宋"/>
          <w:sz w:val="32"/>
          <w:szCs w:val="32"/>
        </w:rPr>
        <w:t>20</w:t>
      </w:r>
      <w:r>
        <w:rPr>
          <w:rFonts w:ascii="仿宋" w:eastAsia="仿宋" w:hAnsi="仿宋" w:hint="eastAsia"/>
          <w:sz w:val="32"/>
          <w:szCs w:val="32"/>
        </w:rPr>
        <w:t>件，上升</w:t>
      </w:r>
      <w:r>
        <w:rPr>
          <w:rFonts w:ascii="仿宋" w:eastAsia="仿宋" w:hAnsi="仿宋"/>
          <w:sz w:val="32"/>
          <w:szCs w:val="32"/>
        </w:rPr>
        <w:t>80%</w:t>
      </w:r>
      <w:r>
        <w:rPr>
          <w:rFonts w:ascii="仿宋" w:eastAsia="仿宋" w:hAnsi="仿宋" w:hint="eastAsia"/>
          <w:sz w:val="32"/>
          <w:szCs w:val="32"/>
        </w:rPr>
        <w:t>；审执结</w:t>
      </w:r>
      <w:r>
        <w:rPr>
          <w:rFonts w:ascii="仿宋" w:eastAsia="仿宋" w:hAnsi="仿宋"/>
          <w:sz w:val="32"/>
          <w:szCs w:val="32"/>
        </w:rPr>
        <w:t>26</w:t>
      </w:r>
      <w:r>
        <w:rPr>
          <w:rFonts w:ascii="仿宋" w:eastAsia="仿宋" w:hAnsi="仿宋" w:hint="eastAsia"/>
          <w:sz w:val="32"/>
          <w:szCs w:val="32"/>
        </w:rPr>
        <w:t>件，同比增加</w:t>
      </w:r>
      <w:r>
        <w:rPr>
          <w:rFonts w:ascii="仿宋" w:eastAsia="仿宋" w:hAnsi="仿宋"/>
          <w:sz w:val="32"/>
          <w:szCs w:val="32"/>
        </w:rPr>
        <w:t>5</w:t>
      </w:r>
      <w:r>
        <w:rPr>
          <w:rFonts w:ascii="仿宋" w:eastAsia="仿宋" w:hAnsi="仿宋" w:hint="eastAsia"/>
          <w:sz w:val="32"/>
          <w:szCs w:val="32"/>
        </w:rPr>
        <w:t>件，上升</w:t>
      </w:r>
      <w:r>
        <w:rPr>
          <w:rFonts w:ascii="仿宋" w:eastAsia="仿宋" w:hAnsi="仿宋"/>
          <w:sz w:val="32"/>
          <w:szCs w:val="32"/>
        </w:rPr>
        <w:t>23.81%</w:t>
      </w:r>
      <w:r>
        <w:rPr>
          <w:rFonts w:ascii="仿宋" w:eastAsia="仿宋" w:hAnsi="仿宋" w:hint="eastAsia"/>
          <w:sz w:val="32"/>
          <w:szCs w:val="32"/>
        </w:rPr>
        <w:t>；未结</w:t>
      </w:r>
      <w:r>
        <w:rPr>
          <w:rFonts w:ascii="仿宋" w:eastAsia="仿宋" w:hAnsi="仿宋"/>
          <w:sz w:val="32"/>
          <w:szCs w:val="32"/>
        </w:rPr>
        <w:t>20</w:t>
      </w:r>
      <w:r>
        <w:rPr>
          <w:rFonts w:ascii="仿宋" w:eastAsia="仿宋" w:hAnsi="仿宋" w:hint="eastAsia"/>
          <w:sz w:val="32"/>
          <w:szCs w:val="32"/>
        </w:rPr>
        <w:t>件，同比增加</w:t>
      </w:r>
      <w:r>
        <w:rPr>
          <w:rFonts w:ascii="仿宋" w:eastAsia="仿宋" w:hAnsi="仿宋"/>
          <w:sz w:val="32"/>
          <w:szCs w:val="32"/>
        </w:rPr>
        <w:t>15</w:t>
      </w:r>
      <w:r>
        <w:rPr>
          <w:rFonts w:ascii="仿宋" w:eastAsia="仿宋" w:hAnsi="仿宋" w:hint="eastAsia"/>
          <w:sz w:val="32"/>
          <w:szCs w:val="32"/>
        </w:rPr>
        <w:t>件，上升</w:t>
      </w:r>
      <w:r>
        <w:rPr>
          <w:rFonts w:ascii="仿宋" w:eastAsia="仿宋" w:hAnsi="仿宋"/>
          <w:sz w:val="32"/>
          <w:szCs w:val="32"/>
        </w:rPr>
        <w:t>300%</w:t>
      </w:r>
      <w:r>
        <w:rPr>
          <w:rFonts w:ascii="仿宋" w:eastAsia="仿宋" w:hAnsi="仿宋" w:hint="eastAsia"/>
          <w:sz w:val="32"/>
          <w:szCs w:val="32"/>
        </w:rPr>
        <w:t>；结案率</w:t>
      </w:r>
      <w:r>
        <w:rPr>
          <w:rFonts w:ascii="仿宋" w:eastAsia="仿宋" w:hAnsi="仿宋"/>
          <w:sz w:val="32"/>
          <w:szCs w:val="32"/>
        </w:rPr>
        <w:t>56.52%</w:t>
      </w:r>
      <w:r>
        <w:rPr>
          <w:rFonts w:ascii="仿宋" w:eastAsia="仿宋" w:hAnsi="仿宋" w:hint="eastAsia"/>
          <w:sz w:val="32"/>
          <w:szCs w:val="32"/>
        </w:rPr>
        <w:t>，同比下降</w:t>
      </w:r>
      <w:r>
        <w:rPr>
          <w:rFonts w:ascii="仿宋" w:eastAsia="仿宋" w:hAnsi="仿宋"/>
          <w:sz w:val="32"/>
          <w:szCs w:val="32"/>
        </w:rPr>
        <w:t>24.25</w:t>
      </w:r>
      <w:r>
        <w:rPr>
          <w:rFonts w:ascii="仿宋" w:eastAsia="仿宋" w:hAnsi="仿宋" w:hint="eastAsia"/>
          <w:sz w:val="32"/>
          <w:szCs w:val="32"/>
        </w:rPr>
        <w:t>个百分点。</w:t>
      </w:r>
    </w:p>
    <w:p w:rsidR="009208BF" w:rsidRDefault="009208BF" w:rsidP="00343A0B">
      <w:pPr>
        <w:snapToGrid w:val="0"/>
        <w:spacing w:line="360" w:lineRule="auto"/>
        <w:jc w:val="left"/>
        <w:rPr>
          <w:rFonts w:ascii="Times New Roman" w:eastAsia="楷体" w:hAnsi="楷体"/>
          <w:b/>
          <w:sz w:val="32"/>
          <w:szCs w:val="32"/>
        </w:rPr>
      </w:pPr>
      <w:r w:rsidRPr="00DB2C03">
        <w:rPr>
          <w:rFonts w:ascii="Times New Roman" w:hAnsi="Times New Roman"/>
          <w:noProof/>
        </w:rPr>
        <w:object w:dxaOrig="7393"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14.75pt;height:222.75pt;visibility:visible" o:ole="">
            <v:imagedata r:id="rId6" o:title="" croptop="-1165f" cropbottom="-2089f" cropleft="-3998f" cropright="-4078f"/>
            <o:lock v:ext="edit" aspectratio="f"/>
          </v:shape>
          <o:OLEObject Type="Embed" ProgID="Excel.Chart.8" ShapeID="对象 1" DrawAspect="Content" ObjectID="_1570282349" r:id="rId7"/>
        </w:object>
      </w:r>
    </w:p>
    <w:p w:rsidR="009208BF" w:rsidRDefault="009208BF" w:rsidP="00343A0B">
      <w:pPr>
        <w:snapToGrid w:val="0"/>
        <w:spacing w:line="360" w:lineRule="auto"/>
        <w:jc w:val="left"/>
        <w:rPr>
          <w:rFonts w:ascii="Times New Roman" w:eastAsia="楷体" w:hAnsi="楷体"/>
          <w:b/>
          <w:sz w:val="32"/>
          <w:szCs w:val="32"/>
        </w:rPr>
      </w:pPr>
    </w:p>
    <w:p w:rsidR="009208BF" w:rsidRDefault="009208BF" w:rsidP="00343A0B">
      <w:pPr>
        <w:snapToGrid w:val="0"/>
        <w:spacing w:line="360" w:lineRule="auto"/>
        <w:jc w:val="left"/>
        <w:rPr>
          <w:rFonts w:ascii="Times New Roman" w:eastAsia="楷体" w:hAnsi="楷体"/>
          <w:b/>
          <w:sz w:val="32"/>
          <w:szCs w:val="32"/>
        </w:rPr>
      </w:pPr>
      <w:r>
        <w:rPr>
          <w:rFonts w:ascii="Times New Roman" w:eastAsia="楷体" w:hAnsi="楷体" w:hint="eastAsia"/>
          <w:b/>
          <w:sz w:val="32"/>
          <w:szCs w:val="32"/>
        </w:rPr>
        <w:t>（二）具体收结案情况表</w:t>
      </w:r>
    </w:p>
    <w:p w:rsidR="009208BF" w:rsidRDefault="009208BF">
      <w:pPr>
        <w:snapToGrid w:val="0"/>
        <w:spacing w:line="360" w:lineRule="auto"/>
        <w:ind w:firstLineChars="200" w:firstLine="643"/>
        <w:jc w:val="center"/>
        <w:rPr>
          <w:rFonts w:ascii="Times New Roman" w:hAnsi="Times New Roman"/>
          <w:b/>
          <w:sz w:val="32"/>
          <w:szCs w:val="32"/>
        </w:rPr>
      </w:pPr>
      <w:r>
        <w:rPr>
          <w:rFonts w:ascii="宋体" w:cs="宋体" w:hint="eastAsia"/>
          <w:b/>
          <w:sz w:val="32"/>
          <w:szCs w:val="32"/>
        </w:rPr>
        <w:t>白城铁路运输法院收结案统计表</w:t>
      </w:r>
      <w:r>
        <w:rPr>
          <w:rStyle w:val="FootnoteReference"/>
          <w:rFonts w:ascii="Times New Roman" w:hAnsi="Times New Roman"/>
          <w:b/>
          <w:sz w:val="32"/>
          <w:szCs w:val="32"/>
        </w:rPr>
        <w:footnoteReference w:id="3"/>
      </w:r>
    </w:p>
    <w:tbl>
      <w:tblPr>
        <w:tblW w:w="9013"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7"/>
        <w:gridCol w:w="644"/>
        <w:gridCol w:w="644"/>
        <w:gridCol w:w="644"/>
        <w:gridCol w:w="518"/>
        <w:gridCol w:w="567"/>
        <w:gridCol w:w="1088"/>
        <w:gridCol w:w="755"/>
        <w:gridCol w:w="425"/>
        <w:gridCol w:w="709"/>
        <w:gridCol w:w="862"/>
      </w:tblGrid>
      <w:tr w:rsidR="009208BF">
        <w:trPr>
          <w:trHeight w:val="514"/>
          <w:jc w:val="center"/>
        </w:trPr>
        <w:tc>
          <w:tcPr>
            <w:tcW w:w="9013" w:type="dxa"/>
            <w:gridSpan w:val="11"/>
            <w:shd w:val="clear" w:color="000000" w:fill="FFFFFF"/>
            <w:vAlign w:val="center"/>
          </w:tcPr>
          <w:p w:rsidR="009208BF" w:rsidRDefault="009208BF" w:rsidP="00680200">
            <w:pPr>
              <w:widowControl/>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 xml:space="preserve">2017-9-30                                 </w:t>
            </w:r>
            <w:r>
              <w:rPr>
                <w:rFonts w:ascii="宋体" w:cs="宋体" w:hint="eastAsia"/>
                <w:sz w:val="24"/>
                <w:szCs w:val="24"/>
              </w:rPr>
              <w:t>单位：件</w:t>
            </w:r>
          </w:p>
        </w:tc>
      </w:tr>
      <w:tr w:rsidR="009208BF" w:rsidTr="00B90946">
        <w:trPr>
          <w:trHeight w:val="346"/>
          <w:jc w:val="center"/>
        </w:trPr>
        <w:tc>
          <w:tcPr>
            <w:tcW w:w="2157"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法院</w:t>
            </w:r>
          </w:p>
        </w:tc>
        <w:tc>
          <w:tcPr>
            <w:tcW w:w="644"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旧存</w:t>
            </w:r>
          </w:p>
        </w:tc>
        <w:tc>
          <w:tcPr>
            <w:tcW w:w="644"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新收</w:t>
            </w:r>
          </w:p>
        </w:tc>
        <w:tc>
          <w:tcPr>
            <w:tcW w:w="644"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未结</w:t>
            </w:r>
          </w:p>
        </w:tc>
        <w:tc>
          <w:tcPr>
            <w:tcW w:w="518"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已结</w:t>
            </w:r>
          </w:p>
        </w:tc>
        <w:tc>
          <w:tcPr>
            <w:tcW w:w="567"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总计</w:t>
            </w:r>
          </w:p>
        </w:tc>
        <w:tc>
          <w:tcPr>
            <w:tcW w:w="1088"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结案率</w:t>
            </w:r>
          </w:p>
        </w:tc>
        <w:tc>
          <w:tcPr>
            <w:tcW w:w="755"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平均审期</w:t>
            </w:r>
          </w:p>
        </w:tc>
        <w:tc>
          <w:tcPr>
            <w:tcW w:w="425" w:type="dxa"/>
            <w:shd w:val="clear" w:color="000000" w:fill="FFFFFF"/>
            <w:vAlign w:val="center"/>
          </w:tcPr>
          <w:p w:rsidR="009208BF" w:rsidRDefault="009208BF">
            <w:pPr>
              <w:widowControl/>
              <w:jc w:val="center"/>
              <w:rPr>
                <w:rFonts w:ascii="Arial" w:hAnsi="Arial" w:cs="Arial"/>
                <w:b/>
                <w:bCs/>
                <w:sz w:val="20"/>
                <w:szCs w:val="20"/>
              </w:rPr>
            </w:pPr>
            <w:r>
              <w:rPr>
                <w:rFonts w:ascii="宋体" w:cs="宋体" w:hint="eastAsia"/>
                <w:b/>
                <w:sz w:val="24"/>
                <w:szCs w:val="24"/>
              </w:rPr>
              <w:t>法官人数</w:t>
            </w:r>
          </w:p>
        </w:tc>
        <w:tc>
          <w:tcPr>
            <w:tcW w:w="709"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人均受案</w:t>
            </w:r>
          </w:p>
        </w:tc>
        <w:tc>
          <w:tcPr>
            <w:tcW w:w="862" w:type="dxa"/>
            <w:shd w:val="clear" w:color="000000" w:fill="FFFFFF"/>
            <w:vAlign w:val="center"/>
          </w:tcPr>
          <w:p w:rsidR="009208BF" w:rsidRDefault="009208BF">
            <w:pPr>
              <w:widowControl/>
              <w:jc w:val="center"/>
              <w:rPr>
                <w:rFonts w:ascii="Times New Roman" w:hAnsi="Times New Roman"/>
                <w:b/>
                <w:sz w:val="24"/>
                <w:szCs w:val="24"/>
              </w:rPr>
            </w:pPr>
            <w:r>
              <w:rPr>
                <w:rFonts w:ascii="宋体" w:cs="宋体" w:hint="eastAsia"/>
                <w:b/>
                <w:sz w:val="24"/>
                <w:szCs w:val="24"/>
              </w:rPr>
              <w:t>人均结案</w:t>
            </w:r>
          </w:p>
        </w:tc>
      </w:tr>
      <w:tr w:rsidR="009208BF" w:rsidTr="00B90946">
        <w:trPr>
          <w:trHeight w:val="651"/>
          <w:jc w:val="center"/>
        </w:trPr>
        <w:tc>
          <w:tcPr>
            <w:tcW w:w="2157" w:type="dxa"/>
            <w:shd w:val="clear" w:color="000000" w:fill="FFFFFF"/>
            <w:vAlign w:val="center"/>
          </w:tcPr>
          <w:p w:rsidR="009208BF" w:rsidRDefault="009208BF">
            <w:pPr>
              <w:widowControl/>
              <w:jc w:val="center"/>
              <w:rPr>
                <w:rFonts w:ascii="宋体"/>
                <w:sz w:val="24"/>
                <w:szCs w:val="24"/>
              </w:rPr>
            </w:pPr>
            <w:r>
              <w:rPr>
                <w:rFonts w:ascii="宋体" w:hAnsi="宋体" w:cs="宋体" w:hint="eastAsia"/>
                <w:sz w:val="24"/>
                <w:szCs w:val="24"/>
              </w:rPr>
              <w:t>白城铁路运输法院</w:t>
            </w:r>
          </w:p>
        </w:tc>
        <w:tc>
          <w:tcPr>
            <w:tcW w:w="644" w:type="dxa"/>
            <w:shd w:val="clear" w:color="000000" w:fill="FFFFFF"/>
            <w:vAlign w:val="center"/>
          </w:tcPr>
          <w:p w:rsidR="009208BF" w:rsidRDefault="009208BF">
            <w:pPr>
              <w:jc w:val="center"/>
              <w:rPr>
                <w:rFonts w:ascii="Times New Roman" w:hAnsi="Times New Roman"/>
                <w:b/>
                <w:sz w:val="24"/>
                <w:szCs w:val="24"/>
              </w:rPr>
            </w:pPr>
            <w:r>
              <w:rPr>
                <w:rFonts w:ascii="Times New Roman" w:hAnsi="Times New Roman"/>
                <w:b/>
                <w:sz w:val="24"/>
                <w:szCs w:val="24"/>
              </w:rPr>
              <w:t>1</w:t>
            </w:r>
          </w:p>
        </w:tc>
        <w:tc>
          <w:tcPr>
            <w:tcW w:w="644" w:type="dxa"/>
            <w:shd w:val="clear" w:color="000000" w:fill="FFFFFF"/>
            <w:vAlign w:val="center"/>
          </w:tcPr>
          <w:p w:rsidR="009208BF" w:rsidRDefault="009208BF">
            <w:pPr>
              <w:jc w:val="center"/>
              <w:rPr>
                <w:rFonts w:ascii="Times New Roman" w:hAnsi="Times New Roman"/>
                <w:b/>
                <w:sz w:val="24"/>
                <w:szCs w:val="24"/>
              </w:rPr>
            </w:pPr>
            <w:r>
              <w:rPr>
                <w:rFonts w:ascii="Times New Roman" w:hAnsi="Times New Roman"/>
                <w:b/>
                <w:sz w:val="24"/>
                <w:szCs w:val="24"/>
              </w:rPr>
              <w:t>45</w:t>
            </w:r>
          </w:p>
        </w:tc>
        <w:tc>
          <w:tcPr>
            <w:tcW w:w="644" w:type="dxa"/>
            <w:shd w:val="clear" w:color="000000" w:fill="FFFFFF"/>
            <w:vAlign w:val="center"/>
          </w:tcPr>
          <w:p w:rsidR="009208BF" w:rsidRDefault="009208BF">
            <w:pPr>
              <w:jc w:val="center"/>
              <w:rPr>
                <w:rFonts w:ascii="Times New Roman" w:hAnsi="Times New Roman"/>
                <w:b/>
                <w:sz w:val="24"/>
                <w:szCs w:val="24"/>
              </w:rPr>
            </w:pPr>
            <w:r>
              <w:rPr>
                <w:rFonts w:ascii="Times New Roman" w:hAnsi="Times New Roman"/>
                <w:b/>
                <w:sz w:val="24"/>
                <w:szCs w:val="24"/>
              </w:rPr>
              <w:t>20</w:t>
            </w:r>
          </w:p>
        </w:tc>
        <w:tc>
          <w:tcPr>
            <w:tcW w:w="518" w:type="dxa"/>
            <w:shd w:val="clear" w:color="000000" w:fill="FFFFFF"/>
            <w:vAlign w:val="center"/>
          </w:tcPr>
          <w:p w:rsidR="009208BF" w:rsidRDefault="009208BF" w:rsidP="00343A0B">
            <w:pPr>
              <w:jc w:val="center"/>
              <w:rPr>
                <w:rFonts w:ascii="Times New Roman" w:hAnsi="Times New Roman"/>
                <w:b/>
                <w:sz w:val="24"/>
                <w:szCs w:val="24"/>
              </w:rPr>
            </w:pPr>
            <w:r>
              <w:rPr>
                <w:rFonts w:ascii="Times New Roman" w:hAnsi="Times New Roman"/>
                <w:b/>
                <w:sz w:val="24"/>
                <w:szCs w:val="24"/>
              </w:rPr>
              <w:t>26</w:t>
            </w:r>
          </w:p>
        </w:tc>
        <w:tc>
          <w:tcPr>
            <w:tcW w:w="567" w:type="dxa"/>
            <w:shd w:val="clear" w:color="000000" w:fill="FFFFFF"/>
            <w:vAlign w:val="center"/>
          </w:tcPr>
          <w:p w:rsidR="009208BF" w:rsidRDefault="009208BF" w:rsidP="00797565">
            <w:pPr>
              <w:jc w:val="center"/>
              <w:rPr>
                <w:rFonts w:ascii="Times New Roman" w:hAnsi="Times New Roman"/>
                <w:b/>
                <w:sz w:val="24"/>
                <w:szCs w:val="24"/>
              </w:rPr>
            </w:pPr>
            <w:r>
              <w:rPr>
                <w:rFonts w:ascii="Times New Roman" w:hAnsi="Times New Roman"/>
                <w:b/>
                <w:sz w:val="24"/>
                <w:szCs w:val="24"/>
              </w:rPr>
              <w:t>46</w:t>
            </w:r>
          </w:p>
        </w:tc>
        <w:tc>
          <w:tcPr>
            <w:tcW w:w="1088" w:type="dxa"/>
            <w:shd w:val="clear" w:color="000000" w:fill="FFFFFF"/>
            <w:vAlign w:val="center"/>
          </w:tcPr>
          <w:p w:rsidR="009208BF" w:rsidRDefault="009208BF">
            <w:pPr>
              <w:jc w:val="center"/>
              <w:rPr>
                <w:rFonts w:ascii="Times New Roman" w:hAnsi="Times New Roman"/>
                <w:b/>
                <w:sz w:val="24"/>
                <w:szCs w:val="24"/>
              </w:rPr>
            </w:pPr>
            <w:r>
              <w:rPr>
                <w:rFonts w:ascii="Times New Roman" w:hAnsi="Times New Roman"/>
                <w:b/>
                <w:sz w:val="24"/>
                <w:szCs w:val="24"/>
              </w:rPr>
              <w:t>56.52%</w:t>
            </w:r>
          </w:p>
        </w:tc>
        <w:tc>
          <w:tcPr>
            <w:tcW w:w="755" w:type="dxa"/>
            <w:shd w:val="clear" w:color="000000" w:fill="FFFFFF"/>
            <w:vAlign w:val="center"/>
          </w:tcPr>
          <w:p w:rsidR="009208BF" w:rsidRDefault="009208BF" w:rsidP="00C03CBE">
            <w:pPr>
              <w:jc w:val="center"/>
              <w:rPr>
                <w:rFonts w:ascii="Times New Roman" w:hAnsi="Times New Roman"/>
                <w:b/>
                <w:sz w:val="24"/>
                <w:szCs w:val="24"/>
              </w:rPr>
            </w:pPr>
            <w:r>
              <w:rPr>
                <w:rFonts w:ascii="Times New Roman" w:hAnsi="Times New Roman"/>
                <w:b/>
                <w:sz w:val="24"/>
                <w:szCs w:val="24"/>
              </w:rPr>
              <w:t>36.8</w:t>
            </w:r>
          </w:p>
        </w:tc>
        <w:tc>
          <w:tcPr>
            <w:tcW w:w="425" w:type="dxa"/>
            <w:shd w:val="clear" w:color="000000" w:fill="FFFFFF"/>
            <w:vAlign w:val="center"/>
          </w:tcPr>
          <w:p w:rsidR="009208BF" w:rsidRDefault="009208BF">
            <w:pPr>
              <w:ind w:left="0"/>
              <w:jc w:val="center"/>
              <w:rPr>
                <w:rFonts w:ascii="Times New Roman" w:hAnsi="Times New Roman"/>
                <w:b/>
                <w:sz w:val="24"/>
                <w:szCs w:val="24"/>
              </w:rPr>
            </w:pPr>
            <w:r>
              <w:rPr>
                <w:rFonts w:ascii="Times New Roman" w:hAnsi="Times New Roman"/>
                <w:b/>
                <w:sz w:val="24"/>
                <w:szCs w:val="24"/>
              </w:rPr>
              <w:t>7</w:t>
            </w:r>
          </w:p>
        </w:tc>
        <w:tc>
          <w:tcPr>
            <w:tcW w:w="709" w:type="dxa"/>
            <w:shd w:val="clear" w:color="000000" w:fill="FFFFFF"/>
            <w:vAlign w:val="center"/>
          </w:tcPr>
          <w:p w:rsidR="009208BF" w:rsidRDefault="009208BF" w:rsidP="00343A0B">
            <w:pPr>
              <w:jc w:val="center"/>
              <w:rPr>
                <w:rFonts w:ascii="Times New Roman" w:hAnsi="Times New Roman"/>
                <w:b/>
                <w:sz w:val="24"/>
                <w:szCs w:val="24"/>
              </w:rPr>
            </w:pPr>
            <w:r>
              <w:rPr>
                <w:rFonts w:ascii="Times New Roman" w:hAnsi="Times New Roman"/>
                <w:b/>
                <w:sz w:val="24"/>
                <w:szCs w:val="24"/>
              </w:rPr>
              <w:t>6.57</w:t>
            </w:r>
          </w:p>
        </w:tc>
        <w:tc>
          <w:tcPr>
            <w:tcW w:w="862" w:type="dxa"/>
            <w:shd w:val="clear" w:color="000000" w:fill="FFFFFF"/>
            <w:vAlign w:val="center"/>
          </w:tcPr>
          <w:p w:rsidR="009208BF" w:rsidRDefault="009208BF" w:rsidP="007D0A69">
            <w:pPr>
              <w:jc w:val="center"/>
              <w:rPr>
                <w:rFonts w:ascii="Times New Roman" w:hAnsi="Times New Roman"/>
                <w:b/>
                <w:sz w:val="24"/>
                <w:szCs w:val="24"/>
              </w:rPr>
            </w:pPr>
            <w:r>
              <w:rPr>
                <w:rFonts w:ascii="Times New Roman" w:hAnsi="Times New Roman"/>
                <w:b/>
                <w:sz w:val="24"/>
                <w:szCs w:val="24"/>
              </w:rPr>
              <w:t>3.71</w:t>
            </w:r>
          </w:p>
        </w:tc>
      </w:tr>
    </w:tbl>
    <w:p w:rsidR="009208BF" w:rsidRDefault="009208BF">
      <w:pPr>
        <w:spacing w:line="360" w:lineRule="auto"/>
        <w:ind w:left="645"/>
        <w:rPr>
          <w:rFonts w:ascii="黑体" w:eastAsia="黑体" w:hAnsi="黑体"/>
          <w:b/>
          <w:sz w:val="32"/>
          <w:szCs w:val="32"/>
        </w:rPr>
      </w:pPr>
    </w:p>
    <w:p w:rsidR="009208BF" w:rsidRDefault="009208BF">
      <w:pPr>
        <w:spacing w:line="360" w:lineRule="auto"/>
        <w:ind w:left="645"/>
        <w:rPr>
          <w:rFonts w:ascii="黑体" w:eastAsia="黑体" w:hAnsi="黑体"/>
          <w:b/>
          <w:sz w:val="32"/>
          <w:szCs w:val="32"/>
        </w:rPr>
      </w:pPr>
      <w:r>
        <w:rPr>
          <w:rFonts w:ascii="黑体" w:eastAsia="黑体" w:hAnsi="黑体" w:hint="eastAsia"/>
          <w:b/>
          <w:sz w:val="32"/>
          <w:szCs w:val="32"/>
        </w:rPr>
        <w:t>二、各类型案件审理情况</w:t>
      </w:r>
    </w:p>
    <w:p w:rsidR="009208BF" w:rsidRDefault="009208BF">
      <w:pPr>
        <w:spacing w:line="360" w:lineRule="auto"/>
        <w:ind w:left="645"/>
        <w:rPr>
          <w:rFonts w:ascii="楷体" w:eastAsia="楷体" w:hAnsi="楷体"/>
          <w:b/>
          <w:sz w:val="32"/>
          <w:szCs w:val="32"/>
        </w:rPr>
      </w:pPr>
      <w:r>
        <w:rPr>
          <w:rFonts w:ascii="楷体" w:eastAsia="楷体" w:hAnsi="楷体" w:hint="eastAsia"/>
          <w:b/>
          <w:sz w:val="32"/>
          <w:szCs w:val="32"/>
        </w:rPr>
        <w:t>（一）刑事案件</w:t>
      </w:r>
    </w:p>
    <w:p w:rsidR="009208BF" w:rsidRDefault="009208BF">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白城铁路运输法院共受理刑事案件</w:t>
      </w:r>
      <w:r>
        <w:rPr>
          <w:rFonts w:ascii="仿宋" w:eastAsia="仿宋" w:hAnsi="仿宋"/>
          <w:sz w:val="32"/>
          <w:szCs w:val="32"/>
        </w:rPr>
        <w:t>14</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Pr>
          <w:rFonts w:ascii="仿宋" w:eastAsia="仿宋" w:hAnsi="仿宋"/>
          <w:sz w:val="32"/>
          <w:szCs w:val="32"/>
        </w:rPr>
        <w:t>14</w:t>
      </w:r>
      <w:r>
        <w:rPr>
          <w:rFonts w:ascii="仿宋" w:eastAsia="仿宋" w:hAnsi="仿宋" w:hint="eastAsia"/>
          <w:sz w:val="32"/>
          <w:szCs w:val="32"/>
        </w:rPr>
        <w:t>件，同比增加</w:t>
      </w:r>
      <w:r>
        <w:rPr>
          <w:rFonts w:ascii="仿宋" w:eastAsia="仿宋" w:hAnsi="仿宋"/>
          <w:sz w:val="32"/>
          <w:szCs w:val="32"/>
        </w:rPr>
        <w:t>4</w:t>
      </w:r>
      <w:r>
        <w:rPr>
          <w:rFonts w:ascii="仿宋" w:eastAsia="仿宋" w:hAnsi="仿宋" w:hint="eastAsia"/>
          <w:sz w:val="32"/>
          <w:szCs w:val="32"/>
        </w:rPr>
        <w:t>件，上升</w:t>
      </w:r>
      <w:r>
        <w:rPr>
          <w:rFonts w:ascii="仿宋" w:eastAsia="仿宋" w:hAnsi="仿宋"/>
          <w:sz w:val="32"/>
          <w:szCs w:val="32"/>
        </w:rPr>
        <w:t>40%</w:t>
      </w:r>
      <w:r>
        <w:rPr>
          <w:rFonts w:ascii="仿宋" w:eastAsia="仿宋" w:hAnsi="仿宋" w:hint="eastAsia"/>
          <w:sz w:val="32"/>
          <w:szCs w:val="32"/>
        </w:rPr>
        <w:t>；审结</w:t>
      </w:r>
      <w:r>
        <w:rPr>
          <w:rFonts w:ascii="仿宋" w:eastAsia="仿宋" w:hAnsi="仿宋"/>
          <w:sz w:val="32"/>
          <w:szCs w:val="32"/>
        </w:rPr>
        <w:t>12</w:t>
      </w:r>
      <w:r>
        <w:rPr>
          <w:rFonts w:ascii="仿宋" w:eastAsia="仿宋" w:hAnsi="仿宋" w:hint="eastAsia"/>
          <w:sz w:val="32"/>
          <w:szCs w:val="32"/>
        </w:rPr>
        <w:t>件，同比增加</w:t>
      </w:r>
      <w:r>
        <w:rPr>
          <w:rFonts w:ascii="仿宋" w:eastAsia="仿宋" w:hAnsi="仿宋"/>
          <w:sz w:val="32"/>
          <w:szCs w:val="32"/>
        </w:rPr>
        <w:t>3</w:t>
      </w:r>
      <w:r>
        <w:rPr>
          <w:rFonts w:ascii="仿宋" w:eastAsia="仿宋" w:hAnsi="仿宋" w:hint="eastAsia"/>
          <w:sz w:val="32"/>
          <w:szCs w:val="32"/>
        </w:rPr>
        <w:t>件，上升</w:t>
      </w:r>
      <w:r>
        <w:rPr>
          <w:rFonts w:ascii="仿宋" w:eastAsia="仿宋" w:hAnsi="仿宋"/>
          <w:sz w:val="32"/>
          <w:szCs w:val="32"/>
        </w:rPr>
        <w:t>33.33%</w:t>
      </w:r>
      <w:r>
        <w:rPr>
          <w:rFonts w:ascii="仿宋" w:eastAsia="仿宋" w:hAnsi="仿宋" w:hint="eastAsia"/>
          <w:sz w:val="32"/>
          <w:szCs w:val="32"/>
        </w:rPr>
        <w:t>；结案率为</w:t>
      </w:r>
      <w:r>
        <w:rPr>
          <w:rFonts w:ascii="仿宋" w:eastAsia="仿宋" w:hAnsi="仿宋"/>
          <w:sz w:val="32"/>
          <w:szCs w:val="32"/>
        </w:rPr>
        <w:t>85.71%</w:t>
      </w:r>
      <w:r>
        <w:rPr>
          <w:rFonts w:ascii="仿宋" w:eastAsia="仿宋" w:hAnsi="仿宋" w:hint="eastAsia"/>
          <w:sz w:val="32"/>
          <w:szCs w:val="32"/>
        </w:rPr>
        <w:t>，同比下降</w:t>
      </w:r>
      <w:r>
        <w:rPr>
          <w:rFonts w:ascii="仿宋" w:eastAsia="仿宋" w:hAnsi="仿宋"/>
          <w:sz w:val="32"/>
          <w:szCs w:val="32"/>
        </w:rPr>
        <w:t>4.29</w:t>
      </w:r>
      <w:r>
        <w:rPr>
          <w:rFonts w:ascii="仿宋" w:eastAsia="仿宋" w:hAnsi="仿宋" w:hint="eastAsia"/>
          <w:sz w:val="32"/>
          <w:szCs w:val="32"/>
        </w:rPr>
        <w:t>个百分点。已结案件中，结案方式判决</w:t>
      </w:r>
      <w:r>
        <w:rPr>
          <w:rFonts w:ascii="仿宋" w:eastAsia="仿宋" w:hAnsi="仿宋"/>
          <w:sz w:val="32"/>
          <w:szCs w:val="32"/>
        </w:rPr>
        <w:t>11</w:t>
      </w:r>
      <w:r>
        <w:rPr>
          <w:rFonts w:ascii="仿宋" w:eastAsia="仿宋" w:hAnsi="仿宋" w:hint="eastAsia"/>
          <w:sz w:val="32"/>
          <w:szCs w:val="32"/>
        </w:rPr>
        <w:t>件；撤诉</w:t>
      </w:r>
      <w:r>
        <w:rPr>
          <w:rFonts w:ascii="仿宋" w:eastAsia="仿宋" w:hAnsi="仿宋"/>
          <w:sz w:val="32"/>
          <w:szCs w:val="32"/>
        </w:rPr>
        <w:t>1</w:t>
      </w:r>
      <w:r>
        <w:rPr>
          <w:rFonts w:ascii="仿宋" w:eastAsia="仿宋" w:hAnsi="仿宋" w:hint="eastAsia"/>
          <w:sz w:val="32"/>
          <w:szCs w:val="32"/>
        </w:rPr>
        <w:t>件。</w:t>
      </w:r>
    </w:p>
    <w:p w:rsidR="009208BF" w:rsidRDefault="009208BF">
      <w:pPr>
        <w:snapToGrid w:val="0"/>
        <w:spacing w:line="360" w:lineRule="auto"/>
        <w:ind w:firstLineChars="200" w:firstLine="640"/>
        <w:jc w:val="left"/>
        <w:rPr>
          <w:rFonts w:hAnsi="Times New Roman"/>
          <w:sz w:val="32"/>
          <w:szCs w:val="32"/>
        </w:rPr>
      </w:pPr>
    </w:p>
    <w:p w:rsidR="009208BF" w:rsidRDefault="009208BF">
      <w:pPr>
        <w:snapToGrid w:val="0"/>
        <w:spacing w:line="360" w:lineRule="auto"/>
        <w:jc w:val="center"/>
        <w:rPr>
          <w:rFonts w:ascii="Times New Roman" w:hAnsi="Times New Roman"/>
          <w:sz w:val="32"/>
          <w:szCs w:val="32"/>
        </w:rPr>
      </w:pPr>
      <w:r>
        <w:rPr>
          <w:rFonts w:ascii="宋体" w:cs="宋体" w:hint="eastAsia"/>
          <w:b/>
          <w:bCs/>
          <w:sz w:val="32"/>
          <w:szCs w:val="32"/>
        </w:rPr>
        <w:t>白城铁路运输法院刑事案件列表</w:t>
      </w:r>
    </w:p>
    <w:tbl>
      <w:tblPr>
        <w:tblW w:w="9014" w:type="dxa"/>
        <w:jc w:val="center"/>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3096"/>
        <w:gridCol w:w="683"/>
        <w:gridCol w:w="492"/>
        <w:gridCol w:w="493"/>
        <w:gridCol w:w="604"/>
        <w:gridCol w:w="940"/>
        <w:gridCol w:w="785"/>
        <w:gridCol w:w="1060"/>
        <w:gridCol w:w="861"/>
      </w:tblGrid>
      <w:tr w:rsidR="009208BF">
        <w:trPr>
          <w:trHeight w:val="366"/>
          <w:jc w:val="center"/>
        </w:trPr>
        <w:tc>
          <w:tcPr>
            <w:tcW w:w="9014" w:type="dxa"/>
            <w:gridSpan w:val="9"/>
            <w:shd w:val="solid" w:color="FFFFFF" w:fill="auto"/>
          </w:tcPr>
          <w:p w:rsidR="009208BF" w:rsidRDefault="009208BF" w:rsidP="001E35D2">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 xml:space="preserve">2017-9-30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9208BF" w:rsidTr="00B90946">
        <w:trPr>
          <w:trHeight w:val="407"/>
          <w:jc w:val="center"/>
        </w:trPr>
        <w:tc>
          <w:tcPr>
            <w:tcW w:w="3096"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683"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1589" w:type="dxa"/>
            <w:gridSpan w:val="3"/>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940"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c>
          <w:tcPr>
            <w:tcW w:w="785"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平均审期</w:t>
            </w:r>
          </w:p>
        </w:tc>
        <w:tc>
          <w:tcPr>
            <w:tcW w:w="1060"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上诉案件数</w:t>
            </w:r>
          </w:p>
        </w:tc>
        <w:tc>
          <w:tcPr>
            <w:tcW w:w="861"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上诉率</w:t>
            </w:r>
          </w:p>
        </w:tc>
      </w:tr>
      <w:tr w:rsidR="009208BF" w:rsidTr="00B90946">
        <w:trPr>
          <w:trHeight w:val="421"/>
          <w:jc w:val="center"/>
        </w:trPr>
        <w:tc>
          <w:tcPr>
            <w:tcW w:w="3096"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683"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492" w:type="dxa"/>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判决</w:t>
            </w:r>
          </w:p>
        </w:tc>
        <w:tc>
          <w:tcPr>
            <w:tcW w:w="493" w:type="dxa"/>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终止</w:t>
            </w:r>
          </w:p>
        </w:tc>
        <w:tc>
          <w:tcPr>
            <w:tcW w:w="604" w:type="dxa"/>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940"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785"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1060"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861"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r>
      <w:tr w:rsidR="009208BF" w:rsidTr="00B90946">
        <w:trPr>
          <w:trHeight w:val="506"/>
          <w:jc w:val="center"/>
        </w:trPr>
        <w:tc>
          <w:tcPr>
            <w:tcW w:w="3096" w:type="dxa"/>
            <w:shd w:val="solid" w:color="FFFFFF" w:fill="auto"/>
            <w:vAlign w:val="center"/>
          </w:tcPr>
          <w:p w:rsidR="009208BF" w:rsidRDefault="009208BF">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683" w:type="dxa"/>
            <w:shd w:val="solid" w:color="FFFFFF" w:fill="auto"/>
            <w:vAlign w:val="center"/>
          </w:tcPr>
          <w:p w:rsidR="009208BF" w:rsidRDefault="009208BF" w:rsidP="001E35D2">
            <w:pPr>
              <w:autoSpaceDE w:val="0"/>
              <w:autoSpaceDN w:val="0"/>
              <w:adjustRightInd w:val="0"/>
              <w:jc w:val="center"/>
              <w:rPr>
                <w:rFonts w:ascii="Times New Roman" w:hAnsi="Times New Roman"/>
                <w:b/>
                <w:sz w:val="24"/>
                <w:szCs w:val="24"/>
              </w:rPr>
            </w:pPr>
            <w:r>
              <w:rPr>
                <w:rFonts w:ascii="Times New Roman" w:hAnsi="Times New Roman"/>
                <w:b/>
                <w:sz w:val="24"/>
                <w:szCs w:val="24"/>
              </w:rPr>
              <w:t>14</w:t>
            </w:r>
          </w:p>
        </w:tc>
        <w:tc>
          <w:tcPr>
            <w:tcW w:w="492" w:type="dxa"/>
            <w:shd w:val="solid" w:color="FFFFFF" w:fill="auto"/>
            <w:vAlign w:val="center"/>
          </w:tcPr>
          <w:p w:rsidR="009208BF" w:rsidRDefault="009208BF" w:rsidP="001E35D2">
            <w:pPr>
              <w:autoSpaceDE w:val="0"/>
              <w:autoSpaceDN w:val="0"/>
              <w:adjustRightInd w:val="0"/>
              <w:jc w:val="center"/>
              <w:rPr>
                <w:rFonts w:ascii="Times New Roman" w:hAnsi="Times New Roman"/>
                <w:b/>
                <w:sz w:val="24"/>
                <w:szCs w:val="24"/>
              </w:rPr>
            </w:pPr>
            <w:r>
              <w:rPr>
                <w:rFonts w:ascii="Times New Roman" w:hAnsi="Times New Roman"/>
                <w:b/>
                <w:sz w:val="24"/>
                <w:szCs w:val="24"/>
              </w:rPr>
              <w:t>11</w:t>
            </w:r>
          </w:p>
        </w:tc>
        <w:tc>
          <w:tcPr>
            <w:tcW w:w="493"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04"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940" w:type="dxa"/>
            <w:shd w:val="solid" w:color="FFFFFF" w:fill="auto"/>
            <w:vAlign w:val="center"/>
          </w:tcPr>
          <w:p w:rsidR="009208BF" w:rsidRDefault="009208BF" w:rsidP="00343A0B">
            <w:pPr>
              <w:autoSpaceDE w:val="0"/>
              <w:autoSpaceDN w:val="0"/>
              <w:adjustRightInd w:val="0"/>
              <w:jc w:val="center"/>
              <w:rPr>
                <w:rFonts w:ascii="Times New Roman" w:hAnsi="Times New Roman"/>
                <w:b/>
                <w:sz w:val="24"/>
                <w:szCs w:val="24"/>
              </w:rPr>
            </w:pPr>
            <w:r>
              <w:rPr>
                <w:rFonts w:ascii="Times New Roman" w:hAnsi="Times New Roman"/>
                <w:b/>
                <w:sz w:val="24"/>
                <w:szCs w:val="24"/>
              </w:rPr>
              <w:t>85.71%</w:t>
            </w:r>
          </w:p>
        </w:tc>
        <w:tc>
          <w:tcPr>
            <w:tcW w:w="785"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28.1</w:t>
            </w:r>
          </w:p>
        </w:tc>
        <w:tc>
          <w:tcPr>
            <w:tcW w:w="1060"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861"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0.00%</w:t>
            </w:r>
          </w:p>
        </w:tc>
      </w:tr>
    </w:tbl>
    <w:p w:rsidR="009208BF" w:rsidRDefault="009208BF">
      <w:pPr>
        <w:spacing w:line="360" w:lineRule="auto"/>
        <w:ind w:firstLineChars="200" w:firstLine="420"/>
        <w:rPr>
          <w:rFonts w:hAnsi="Times New Roman"/>
        </w:rPr>
      </w:pPr>
    </w:p>
    <w:p w:rsidR="009208BF" w:rsidRDefault="009208BF">
      <w:pPr>
        <w:spacing w:line="360" w:lineRule="auto"/>
        <w:ind w:firstLineChars="200" w:firstLine="640"/>
        <w:rPr>
          <w:rFonts w:hAnsi="Times New Roman"/>
          <w:sz w:val="32"/>
          <w:szCs w:val="32"/>
        </w:rPr>
      </w:pPr>
      <w:r>
        <w:rPr>
          <w:rFonts w:ascii="仿宋" w:eastAsia="仿宋" w:hAnsi="仿宋" w:hint="eastAsia"/>
          <w:sz w:val="32"/>
          <w:szCs w:val="32"/>
        </w:rPr>
        <w:t>受理的</w:t>
      </w:r>
      <w:r>
        <w:rPr>
          <w:rFonts w:ascii="仿宋" w:eastAsia="仿宋" w:hAnsi="仿宋"/>
          <w:sz w:val="32"/>
          <w:szCs w:val="32"/>
        </w:rPr>
        <w:t>14</w:t>
      </w:r>
      <w:r>
        <w:rPr>
          <w:rFonts w:ascii="仿宋" w:eastAsia="仿宋" w:hAnsi="仿宋" w:hint="eastAsia"/>
          <w:sz w:val="32"/>
          <w:szCs w:val="32"/>
        </w:rPr>
        <w:t>件刑事案件中，危害公共安全罪</w:t>
      </w:r>
      <w:r>
        <w:rPr>
          <w:rFonts w:ascii="仿宋" w:eastAsia="仿宋" w:hAnsi="仿宋"/>
          <w:sz w:val="32"/>
          <w:szCs w:val="32"/>
        </w:rPr>
        <w:t>0</w:t>
      </w:r>
      <w:r>
        <w:rPr>
          <w:rFonts w:ascii="仿宋" w:eastAsia="仿宋" w:hAnsi="仿宋" w:hint="eastAsia"/>
          <w:sz w:val="32"/>
          <w:szCs w:val="32"/>
        </w:rPr>
        <w:t>件，破坏社会主义市场经济秩序罪</w:t>
      </w:r>
      <w:r>
        <w:rPr>
          <w:rFonts w:ascii="仿宋" w:eastAsia="仿宋" w:hAnsi="仿宋"/>
          <w:sz w:val="32"/>
          <w:szCs w:val="32"/>
        </w:rPr>
        <w:t>0</w:t>
      </w:r>
      <w:r>
        <w:rPr>
          <w:rFonts w:ascii="仿宋" w:eastAsia="仿宋" w:hAnsi="仿宋" w:hint="eastAsia"/>
          <w:sz w:val="32"/>
          <w:szCs w:val="32"/>
        </w:rPr>
        <w:t>件，侵犯公民人身权利、民主权利罪</w:t>
      </w:r>
      <w:r>
        <w:rPr>
          <w:rFonts w:ascii="仿宋" w:eastAsia="仿宋" w:hAnsi="仿宋"/>
          <w:sz w:val="32"/>
          <w:szCs w:val="32"/>
        </w:rPr>
        <w:t>2</w:t>
      </w:r>
      <w:r>
        <w:rPr>
          <w:rFonts w:ascii="仿宋" w:eastAsia="仿宋" w:hAnsi="仿宋" w:hint="eastAsia"/>
          <w:sz w:val="32"/>
          <w:szCs w:val="32"/>
        </w:rPr>
        <w:t>件，侵犯财产罪</w:t>
      </w:r>
      <w:r>
        <w:rPr>
          <w:rFonts w:ascii="仿宋" w:eastAsia="仿宋" w:hAnsi="仿宋"/>
          <w:sz w:val="32"/>
          <w:szCs w:val="32"/>
        </w:rPr>
        <w:t>12</w:t>
      </w:r>
      <w:r>
        <w:rPr>
          <w:rFonts w:ascii="仿宋" w:eastAsia="仿宋" w:hAnsi="仿宋" w:hint="eastAsia"/>
          <w:sz w:val="32"/>
          <w:szCs w:val="32"/>
        </w:rPr>
        <w:t>件，妨害社会管理秩序罪</w:t>
      </w:r>
      <w:r>
        <w:rPr>
          <w:rFonts w:ascii="仿宋" w:eastAsia="仿宋" w:hAnsi="仿宋"/>
          <w:sz w:val="32"/>
          <w:szCs w:val="32"/>
        </w:rPr>
        <w:t>0</w:t>
      </w:r>
      <w:r>
        <w:rPr>
          <w:rFonts w:ascii="仿宋" w:eastAsia="仿宋" w:hAnsi="仿宋" w:hint="eastAsia"/>
          <w:sz w:val="32"/>
          <w:szCs w:val="32"/>
        </w:rPr>
        <w:t>件，贪污贿赂罪</w:t>
      </w:r>
      <w:r>
        <w:rPr>
          <w:rFonts w:ascii="仿宋" w:eastAsia="仿宋" w:hAnsi="仿宋"/>
          <w:sz w:val="32"/>
          <w:szCs w:val="32"/>
        </w:rPr>
        <w:t>0</w:t>
      </w:r>
      <w:r>
        <w:rPr>
          <w:rFonts w:ascii="仿宋" w:eastAsia="仿宋" w:hAnsi="仿宋" w:hint="eastAsia"/>
          <w:sz w:val="32"/>
          <w:szCs w:val="32"/>
        </w:rPr>
        <w:t>件。</w:t>
      </w:r>
    </w:p>
    <w:p w:rsidR="009208BF" w:rsidRDefault="009208BF">
      <w:pPr>
        <w:spacing w:line="360" w:lineRule="auto"/>
        <w:ind w:firstLineChars="200" w:firstLine="643"/>
        <w:jc w:val="left"/>
        <w:rPr>
          <w:rFonts w:ascii="楷体" w:eastAsia="楷体" w:hAnsi="楷体"/>
          <w:b/>
          <w:sz w:val="32"/>
          <w:szCs w:val="32"/>
        </w:rPr>
      </w:pPr>
      <w:r>
        <w:rPr>
          <w:rFonts w:ascii="楷体" w:eastAsia="楷体" w:hAnsi="楷体" w:hint="eastAsia"/>
          <w:b/>
          <w:sz w:val="32"/>
          <w:szCs w:val="32"/>
        </w:rPr>
        <w:t>（二）民商事案件</w:t>
      </w:r>
    </w:p>
    <w:p w:rsidR="009208BF" w:rsidRDefault="009208BF">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白城铁路运输法院共受理民事案件</w:t>
      </w:r>
      <w:r>
        <w:rPr>
          <w:rFonts w:ascii="仿宋" w:eastAsia="仿宋" w:hAnsi="仿宋"/>
          <w:sz w:val="32"/>
          <w:szCs w:val="32"/>
        </w:rPr>
        <w:t>12</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Pr>
          <w:rFonts w:ascii="仿宋" w:eastAsia="仿宋" w:hAnsi="仿宋"/>
          <w:sz w:val="32"/>
          <w:szCs w:val="32"/>
        </w:rPr>
        <w:t>12</w:t>
      </w:r>
      <w:r>
        <w:rPr>
          <w:rFonts w:ascii="仿宋" w:eastAsia="仿宋" w:hAnsi="仿宋" w:hint="eastAsia"/>
          <w:sz w:val="32"/>
          <w:szCs w:val="32"/>
        </w:rPr>
        <w:t>件，同比增加</w:t>
      </w:r>
      <w:r>
        <w:rPr>
          <w:rFonts w:ascii="仿宋" w:eastAsia="仿宋" w:hAnsi="仿宋"/>
          <w:sz w:val="32"/>
          <w:szCs w:val="32"/>
        </w:rPr>
        <w:t>4</w:t>
      </w:r>
      <w:r>
        <w:rPr>
          <w:rFonts w:ascii="仿宋" w:eastAsia="仿宋" w:hAnsi="仿宋" w:hint="eastAsia"/>
          <w:sz w:val="32"/>
          <w:szCs w:val="32"/>
        </w:rPr>
        <w:t>件，上升</w:t>
      </w:r>
      <w:r>
        <w:rPr>
          <w:rFonts w:ascii="仿宋" w:eastAsia="仿宋" w:hAnsi="仿宋"/>
          <w:sz w:val="32"/>
          <w:szCs w:val="32"/>
        </w:rPr>
        <w:t>50%</w:t>
      </w:r>
      <w:r>
        <w:rPr>
          <w:rFonts w:ascii="仿宋" w:eastAsia="仿宋" w:hAnsi="仿宋" w:hint="eastAsia"/>
          <w:sz w:val="32"/>
          <w:szCs w:val="32"/>
        </w:rPr>
        <w:t>；审结</w:t>
      </w:r>
      <w:r>
        <w:rPr>
          <w:rFonts w:ascii="仿宋" w:eastAsia="仿宋" w:hAnsi="仿宋"/>
          <w:sz w:val="32"/>
          <w:szCs w:val="32"/>
        </w:rPr>
        <w:t>9</w:t>
      </w:r>
      <w:r>
        <w:rPr>
          <w:rFonts w:ascii="仿宋" w:eastAsia="仿宋" w:hAnsi="仿宋" w:hint="eastAsia"/>
          <w:sz w:val="32"/>
          <w:szCs w:val="32"/>
        </w:rPr>
        <w:t>件，同比增加</w:t>
      </w:r>
      <w:r>
        <w:rPr>
          <w:rFonts w:ascii="仿宋" w:eastAsia="仿宋" w:hAnsi="仿宋"/>
          <w:sz w:val="32"/>
          <w:szCs w:val="32"/>
        </w:rPr>
        <w:t>3</w:t>
      </w:r>
      <w:r>
        <w:rPr>
          <w:rFonts w:ascii="仿宋" w:eastAsia="仿宋" w:hAnsi="仿宋" w:hint="eastAsia"/>
          <w:sz w:val="32"/>
          <w:szCs w:val="32"/>
        </w:rPr>
        <w:t>件，上升</w:t>
      </w:r>
      <w:r>
        <w:rPr>
          <w:rFonts w:ascii="仿宋" w:eastAsia="仿宋" w:hAnsi="仿宋"/>
          <w:sz w:val="32"/>
          <w:szCs w:val="32"/>
        </w:rPr>
        <w:t>50%</w:t>
      </w:r>
      <w:r>
        <w:rPr>
          <w:rFonts w:ascii="仿宋" w:eastAsia="仿宋" w:hAnsi="仿宋" w:hint="eastAsia"/>
          <w:sz w:val="32"/>
          <w:szCs w:val="32"/>
        </w:rPr>
        <w:t>；结案率为</w:t>
      </w:r>
      <w:r>
        <w:rPr>
          <w:rFonts w:ascii="仿宋" w:eastAsia="仿宋" w:hAnsi="仿宋"/>
          <w:sz w:val="32"/>
          <w:szCs w:val="32"/>
        </w:rPr>
        <w:t>75%</w:t>
      </w:r>
      <w:r>
        <w:rPr>
          <w:rFonts w:ascii="仿宋" w:eastAsia="仿宋" w:hAnsi="仿宋" w:hint="eastAsia"/>
          <w:sz w:val="32"/>
          <w:szCs w:val="32"/>
        </w:rPr>
        <w:t>，同比无变化。已结</w:t>
      </w:r>
      <w:r>
        <w:rPr>
          <w:rFonts w:ascii="仿宋" w:eastAsia="仿宋" w:hAnsi="仿宋"/>
          <w:sz w:val="32"/>
          <w:szCs w:val="32"/>
        </w:rPr>
        <w:t>9</w:t>
      </w:r>
      <w:r>
        <w:rPr>
          <w:rFonts w:ascii="仿宋" w:eastAsia="仿宋" w:hAnsi="仿宋" w:hint="eastAsia"/>
          <w:sz w:val="32"/>
          <w:szCs w:val="32"/>
        </w:rPr>
        <w:t>件案件中，结案方式为判决的</w:t>
      </w:r>
      <w:r>
        <w:rPr>
          <w:rFonts w:ascii="仿宋" w:eastAsia="仿宋" w:hAnsi="仿宋"/>
          <w:sz w:val="32"/>
          <w:szCs w:val="32"/>
        </w:rPr>
        <w:t>2</w:t>
      </w:r>
      <w:r>
        <w:rPr>
          <w:rFonts w:ascii="仿宋" w:eastAsia="仿宋" w:hAnsi="仿宋" w:hint="eastAsia"/>
          <w:sz w:val="32"/>
          <w:szCs w:val="32"/>
        </w:rPr>
        <w:t>件，判决率为</w:t>
      </w:r>
      <w:r>
        <w:rPr>
          <w:rFonts w:ascii="仿宋" w:eastAsia="仿宋" w:hAnsi="仿宋"/>
          <w:sz w:val="32"/>
          <w:szCs w:val="32"/>
        </w:rPr>
        <w:t>22.22%</w:t>
      </w:r>
      <w:r>
        <w:rPr>
          <w:rFonts w:ascii="仿宋" w:eastAsia="仿宋" w:hAnsi="仿宋" w:hint="eastAsia"/>
          <w:sz w:val="32"/>
          <w:szCs w:val="32"/>
        </w:rPr>
        <w:t>；调解的</w:t>
      </w:r>
      <w:r>
        <w:rPr>
          <w:rFonts w:ascii="仿宋" w:eastAsia="仿宋" w:hAnsi="仿宋"/>
          <w:sz w:val="32"/>
          <w:szCs w:val="32"/>
        </w:rPr>
        <w:t>4</w:t>
      </w:r>
      <w:r>
        <w:rPr>
          <w:rFonts w:ascii="仿宋" w:eastAsia="仿宋" w:hAnsi="仿宋" w:hint="eastAsia"/>
          <w:sz w:val="32"/>
          <w:szCs w:val="32"/>
        </w:rPr>
        <w:t>件，调解率为</w:t>
      </w:r>
      <w:r>
        <w:rPr>
          <w:rFonts w:ascii="仿宋" w:eastAsia="仿宋" w:hAnsi="仿宋"/>
          <w:sz w:val="32"/>
          <w:szCs w:val="32"/>
        </w:rPr>
        <w:t>44.44%</w:t>
      </w:r>
      <w:r>
        <w:rPr>
          <w:rFonts w:ascii="仿宋" w:eastAsia="仿宋" w:hAnsi="仿宋" w:hint="eastAsia"/>
          <w:sz w:val="32"/>
          <w:szCs w:val="32"/>
        </w:rPr>
        <w:t>；移送</w:t>
      </w:r>
      <w:r>
        <w:rPr>
          <w:rFonts w:ascii="仿宋" w:eastAsia="仿宋" w:hAnsi="仿宋"/>
          <w:sz w:val="32"/>
          <w:szCs w:val="32"/>
        </w:rPr>
        <w:t>1</w:t>
      </w:r>
      <w:r>
        <w:rPr>
          <w:rFonts w:ascii="仿宋" w:eastAsia="仿宋" w:hAnsi="仿宋" w:hint="eastAsia"/>
          <w:sz w:val="32"/>
          <w:szCs w:val="32"/>
        </w:rPr>
        <w:t>件，占</w:t>
      </w:r>
      <w:r>
        <w:rPr>
          <w:rFonts w:ascii="仿宋" w:eastAsia="仿宋" w:hAnsi="仿宋"/>
          <w:sz w:val="32"/>
          <w:szCs w:val="32"/>
        </w:rPr>
        <w:t>11.11%</w:t>
      </w:r>
      <w:r>
        <w:rPr>
          <w:rFonts w:ascii="仿宋" w:eastAsia="仿宋" w:hAnsi="仿宋" w:hint="eastAsia"/>
          <w:sz w:val="32"/>
          <w:szCs w:val="32"/>
        </w:rPr>
        <w:t>。</w:t>
      </w:r>
    </w:p>
    <w:tbl>
      <w:tblPr>
        <w:tblpPr w:leftFromText="180" w:rightFromText="180" w:vertAnchor="text" w:horzAnchor="page" w:tblpXSpec="center" w:tblpY="529"/>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475"/>
        <w:gridCol w:w="342"/>
        <w:gridCol w:w="343"/>
        <w:gridCol w:w="342"/>
        <w:gridCol w:w="342"/>
        <w:gridCol w:w="571"/>
        <w:gridCol w:w="704"/>
        <w:gridCol w:w="1014"/>
        <w:gridCol w:w="721"/>
        <w:gridCol w:w="958"/>
        <w:gridCol w:w="709"/>
        <w:gridCol w:w="685"/>
      </w:tblGrid>
      <w:tr w:rsidR="009208BF" w:rsidTr="00C85D2D">
        <w:trPr>
          <w:trHeight w:val="500"/>
          <w:jc w:val="center"/>
        </w:trPr>
        <w:tc>
          <w:tcPr>
            <w:tcW w:w="9015" w:type="dxa"/>
            <w:gridSpan w:val="13"/>
          </w:tcPr>
          <w:p w:rsidR="009208BF" w:rsidRDefault="009208BF" w:rsidP="001E35D2">
            <w:pPr>
              <w:spacing w:line="360" w:lineRule="auto"/>
              <w:rPr>
                <w:rFonts w:ascii="宋体"/>
                <w:sz w:val="24"/>
                <w:szCs w:val="24"/>
              </w:rPr>
            </w:pPr>
            <w:r>
              <w:rPr>
                <w:rFonts w:ascii="宋体" w:cs="宋体" w:hint="eastAsia"/>
                <w:sz w:val="24"/>
                <w:szCs w:val="24"/>
              </w:rPr>
              <w:t>统计日期</w:t>
            </w:r>
            <w:r>
              <w:rPr>
                <w:rFonts w:ascii="宋体"/>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宋体"/>
                  <w:sz w:val="24"/>
                  <w:szCs w:val="24"/>
                </w:rPr>
                <w:t>2017-01-01</w:t>
              </w:r>
            </w:smartTag>
            <w:r>
              <w:rPr>
                <w:rFonts w:ascii="宋体" w:cs="宋体" w:hint="eastAsia"/>
                <w:sz w:val="24"/>
                <w:szCs w:val="24"/>
              </w:rPr>
              <w:t>到</w:t>
            </w:r>
            <w:r>
              <w:rPr>
                <w:rFonts w:ascii="宋体"/>
                <w:sz w:val="24"/>
                <w:szCs w:val="24"/>
              </w:rPr>
              <w:t xml:space="preserve">2017-9-30                             </w:t>
            </w:r>
            <w:r>
              <w:rPr>
                <w:rFonts w:ascii="宋体" w:cs="宋体" w:hint="eastAsia"/>
                <w:sz w:val="24"/>
                <w:szCs w:val="24"/>
              </w:rPr>
              <w:t>单位</w:t>
            </w:r>
            <w:r>
              <w:rPr>
                <w:rFonts w:ascii="宋体"/>
                <w:sz w:val="24"/>
                <w:szCs w:val="24"/>
              </w:rPr>
              <w:t xml:space="preserve">: </w:t>
            </w:r>
            <w:r>
              <w:rPr>
                <w:rFonts w:ascii="宋体" w:cs="宋体" w:hint="eastAsia"/>
                <w:sz w:val="24"/>
                <w:szCs w:val="24"/>
              </w:rPr>
              <w:t>件、天</w:t>
            </w:r>
          </w:p>
        </w:tc>
      </w:tr>
      <w:tr w:rsidR="009208BF" w:rsidTr="001E35D2">
        <w:trPr>
          <w:trHeight w:val="410"/>
          <w:jc w:val="center"/>
        </w:trPr>
        <w:tc>
          <w:tcPr>
            <w:tcW w:w="1809" w:type="dxa"/>
            <w:vMerge w:val="restart"/>
            <w:vAlign w:val="center"/>
          </w:tcPr>
          <w:p w:rsidR="009208BF" w:rsidRDefault="009208BF">
            <w:pPr>
              <w:spacing w:line="360" w:lineRule="auto"/>
              <w:jc w:val="center"/>
              <w:rPr>
                <w:rFonts w:ascii="宋体"/>
                <w:sz w:val="24"/>
                <w:szCs w:val="24"/>
              </w:rPr>
            </w:pPr>
            <w:r>
              <w:rPr>
                <w:rFonts w:ascii="宋体" w:cs="宋体" w:hint="eastAsia"/>
                <w:b/>
                <w:bCs/>
                <w:sz w:val="24"/>
                <w:szCs w:val="24"/>
              </w:rPr>
              <w:t>法院</w:t>
            </w:r>
          </w:p>
        </w:tc>
        <w:tc>
          <w:tcPr>
            <w:tcW w:w="475"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立案数</w:t>
            </w:r>
          </w:p>
        </w:tc>
        <w:tc>
          <w:tcPr>
            <w:tcW w:w="2644" w:type="dxa"/>
            <w:gridSpan w:val="6"/>
            <w:vAlign w:val="center"/>
          </w:tcPr>
          <w:p w:rsidR="009208BF" w:rsidRDefault="009208BF">
            <w:pPr>
              <w:spacing w:line="360" w:lineRule="auto"/>
              <w:jc w:val="center"/>
              <w:rPr>
                <w:rFonts w:ascii="宋体"/>
                <w:b/>
                <w:sz w:val="24"/>
                <w:szCs w:val="24"/>
              </w:rPr>
            </w:pPr>
            <w:r>
              <w:rPr>
                <w:rFonts w:ascii="宋体" w:hint="eastAsia"/>
                <w:b/>
                <w:sz w:val="24"/>
                <w:szCs w:val="24"/>
              </w:rPr>
              <w:t>结案数</w:t>
            </w:r>
          </w:p>
        </w:tc>
        <w:tc>
          <w:tcPr>
            <w:tcW w:w="1014"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结案率</w:t>
            </w:r>
          </w:p>
        </w:tc>
        <w:tc>
          <w:tcPr>
            <w:tcW w:w="721"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平均审期</w:t>
            </w:r>
          </w:p>
        </w:tc>
        <w:tc>
          <w:tcPr>
            <w:tcW w:w="958"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调撤率</w:t>
            </w:r>
          </w:p>
        </w:tc>
        <w:tc>
          <w:tcPr>
            <w:tcW w:w="709"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上诉案件数</w:t>
            </w:r>
          </w:p>
        </w:tc>
        <w:tc>
          <w:tcPr>
            <w:tcW w:w="685" w:type="dxa"/>
            <w:vMerge w:val="restart"/>
            <w:vAlign w:val="center"/>
          </w:tcPr>
          <w:p w:rsidR="009208BF" w:rsidRDefault="009208BF">
            <w:pPr>
              <w:spacing w:line="360" w:lineRule="auto"/>
              <w:jc w:val="center"/>
              <w:rPr>
                <w:rFonts w:ascii="宋体"/>
                <w:b/>
                <w:sz w:val="24"/>
                <w:szCs w:val="24"/>
              </w:rPr>
            </w:pPr>
            <w:r>
              <w:rPr>
                <w:rFonts w:ascii="宋体" w:hint="eastAsia"/>
                <w:b/>
                <w:sz w:val="24"/>
                <w:szCs w:val="24"/>
              </w:rPr>
              <w:t>上诉率</w:t>
            </w:r>
          </w:p>
        </w:tc>
      </w:tr>
      <w:tr w:rsidR="009208BF" w:rsidTr="001E35D2">
        <w:trPr>
          <w:trHeight w:val="1157"/>
          <w:jc w:val="center"/>
        </w:trPr>
        <w:tc>
          <w:tcPr>
            <w:tcW w:w="1809" w:type="dxa"/>
            <w:vMerge/>
            <w:vAlign w:val="center"/>
          </w:tcPr>
          <w:p w:rsidR="009208BF" w:rsidRDefault="009208BF">
            <w:pPr>
              <w:spacing w:line="360" w:lineRule="auto"/>
              <w:jc w:val="center"/>
              <w:rPr>
                <w:rFonts w:ascii="宋体"/>
                <w:sz w:val="24"/>
                <w:szCs w:val="24"/>
              </w:rPr>
            </w:pPr>
          </w:p>
        </w:tc>
        <w:tc>
          <w:tcPr>
            <w:tcW w:w="475" w:type="dxa"/>
            <w:vMerge/>
            <w:vAlign w:val="center"/>
          </w:tcPr>
          <w:p w:rsidR="009208BF" w:rsidRDefault="009208BF">
            <w:pPr>
              <w:spacing w:line="360" w:lineRule="auto"/>
              <w:jc w:val="center"/>
              <w:rPr>
                <w:rFonts w:ascii="宋体"/>
                <w:b/>
                <w:sz w:val="24"/>
                <w:szCs w:val="24"/>
              </w:rPr>
            </w:pPr>
          </w:p>
        </w:tc>
        <w:tc>
          <w:tcPr>
            <w:tcW w:w="342" w:type="dxa"/>
            <w:vAlign w:val="center"/>
          </w:tcPr>
          <w:p w:rsidR="009208BF" w:rsidRDefault="009208BF">
            <w:pPr>
              <w:spacing w:line="360" w:lineRule="auto"/>
              <w:jc w:val="center"/>
              <w:rPr>
                <w:rFonts w:ascii="宋体"/>
                <w:b/>
                <w:sz w:val="24"/>
                <w:szCs w:val="24"/>
              </w:rPr>
            </w:pPr>
            <w:r>
              <w:rPr>
                <w:rFonts w:ascii="宋体" w:hint="eastAsia"/>
                <w:b/>
                <w:sz w:val="24"/>
                <w:szCs w:val="24"/>
              </w:rPr>
              <w:t>判决</w:t>
            </w:r>
          </w:p>
        </w:tc>
        <w:tc>
          <w:tcPr>
            <w:tcW w:w="343" w:type="dxa"/>
            <w:vAlign w:val="center"/>
          </w:tcPr>
          <w:p w:rsidR="009208BF" w:rsidRDefault="009208BF">
            <w:pPr>
              <w:spacing w:line="360" w:lineRule="auto"/>
              <w:jc w:val="center"/>
              <w:rPr>
                <w:rFonts w:ascii="宋体"/>
                <w:b/>
                <w:sz w:val="24"/>
                <w:szCs w:val="24"/>
              </w:rPr>
            </w:pPr>
            <w:r>
              <w:rPr>
                <w:rFonts w:ascii="宋体" w:hint="eastAsia"/>
                <w:b/>
                <w:sz w:val="24"/>
                <w:szCs w:val="24"/>
              </w:rPr>
              <w:t>调解</w:t>
            </w:r>
          </w:p>
        </w:tc>
        <w:tc>
          <w:tcPr>
            <w:tcW w:w="342" w:type="dxa"/>
            <w:vAlign w:val="center"/>
          </w:tcPr>
          <w:p w:rsidR="009208BF" w:rsidRDefault="009208BF">
            <w:pPr>
              <w:spacing w:line="360" w:lineRule="auto"/>
              <w:jc w:val="center"/>
              <w:rPr>
                <w:rFonts w:ascii="宋体"/>
                <w:b/>
                <w:sz w:val="24"/>
                <w:szCs w:val="24"/>
              </w:rPr>
            </w:pPr>
            <w:r>
              <w:rPr>
                <w:rFonts w:ascii="宋体" w:hint="eastAsia"/>
                <w:b/>
                <w:sz w:val="24"/>
                <w:szCs w:val="24"/>
              </w:rPr>
              <w:t>撤诉</w:t>
            </w:r>
          </w:p>
        </w:tc>
        <w:tc>
          <w:tcPr>
            <w:tcW w:w="342" w:type="dxa"/>
            <w:vAlign w:val="center"/>
          </w:tcPr>
          <w:p w:rsidR="009208BF" w:rsidRDefault="009208BF">
            <w:pPr>
              <w:spacing w:line="360" w:lineRule="auto"/>
              <w:jc w:val="center"/>
              <w:rPr>
                <w:rFonts w:ascii="宋体"/>
                <w:b/>
                <w:sz w:val="24"/>
                <w:szCs w:val="24"/>
              </w:rPr>
            </w:pPr>
            <w:r>
              <w:rPr>
                <w:rFonts w:ascii="宋体" w:hint="eastAsia"/>
                <w:b/>
                <w:sz w:val="24"/>
                <w:szCs w:val="24"/>
              </w:rPr>
              <w:t>移送</w:t>
            </w:r>
          </w:p>
        </w:tc>
        <w:tc>
          <w:tcPr>
            <w:tcW w:w="571" w:type="dxa"/>
            <w:vAlign w:val="center"/>
          </w:tcPr>
          <w:p w:rsidR="009208BF" w:rsidRDefault="009208BF">
            <w:pPr>
              <w:spacing w:line="360" w:lineRule="auto"/>
              <w:jc w:val="center"/>
              <w:rPr>
                <w:rFonts w:ascii="宋体"/>
                <w:b/>
                <w:sz w:val="24"/>
                <w:szCs w:val="24"/>
              </w:rPr>
            </w:pPr>
            <w:r>
              <w:rPr>
                <w:rFonts w:ascii="宋体" w:hint="eastAsia"/>
                <w:b/>
                <w:sz w:val="24"/>
                <w:szCs w:val="24"/>
              </w:rPr>
              <w:t>按撤诉处理</w:t>
            </w:r>
          </w:p>
        </w:tc>
        <w:tc>
          <w:tcPr>
            <w:tcW w:w="704" w:type="dxa"/>
            <w:vAlign w:val="center"/>
          </w:tcPr>
          <w:p w:rsidR="009208BF" w:rsidRDefault="009208BF">
            <w:pPr>
              <w:spacing w:line="360" w:lineRule="auto"/>
              <w:jc w:val="center"/>
              <w:rPr>
                <w:rFonts w:ascii="宋体"/>
                <w:b/>
                <w:sz w:val="24"/>
                <w:szCs w:val="24"/>
              </w:rPr>
            </w:pPr>
            <w:r>
              <w:rPr>
                <w:rFonts w:ascii="宋体" w:hint="eastAsia"/>
                <w:b/>
                <w:sz w:val="24"/>
                <w:szCs w:val="24"/>
              </w:rPr>
              <w:t>驳回起诉</w:t>
            </w:r>
          </w:p>
        </w:tc>
        <w:tc>
          <w:tcPr>
            <w:tcW w:w="1014" w:type="dxa"/>
            <w:vMerge/>
            <w:vAlign w:val="center"/>
          </w:tcPr>
          <w:p w:rsidR="009208BF" w:rsidRDefault="009208BF">
            <w:pPr>
              <w:spacing w:line="360" w:lineRule="auto"/>
              <w:jc w:val="center"/>
              <w:rPr>
                <w:rFonts w:ascii="宋体"/>
                <w:sz w:val="24"/>
                <w:szCs w:val="24"/>
              </w:rPr>
            </w:pPr>
          </w:p>
        </w:tc>
        <w:tc>
          <w:tcPr>
            <w:tcW w:w="721" w:type="dxa"/>
            <w:vMerge/>
            <w:vAlign w:val="center"/>
          </w:tcPr>
          <w:p w:rsidR="009208BF" w:rsidRDefault="009208BF">
            <w:pPr>
              <w:spacing w:line="360" w:lineRule="auto"/>
              <w:jc w:val="center"/>
              <w:rPr>
                <w:rFonts w:ascii="宋体"/>
                <w:sz w:val="24"/>
                <w:szCs w:val="24"/>
              </w:rPr>
            </w:pPr>
          </w:p>
        </w:tc>
        <w:tc>
          <w:tcPr>
            <w:tcW w:w="958" w:type="dxa"/>
            <w:vMerge/>
            <w:vAlign w:val="center"/>
          </w:tcPr>
          <w:p w:rsidR="009208BF" w:rsidRDefault="009208BF">
            <w:pPr>
              <w:spacing w:line="360" w:lineRule="auto"/>
              <w:jc w:val="center"/>
              <w:rPr>
                <w:rFonts w:ascii="宋体"/>
                <w:sz w:val="24"/>
                <w:szCs w:val="24"/>
              </w:rPr>
            </w:pPr>
          </w:p>
        </w:tc>
        <w:tc>
          <w:tcPr>
            <w:tcW w:w="709" w:type="dxa"/>
            <w:vMerge/>
            <w:vAlign w:val="center"/>
          </w:tcPr>
          <w:p w:rsidR="009208BF" w:rsidRDefault="009208BF">
            <w:pPr>
              <w:spacing w:line="360" w:lineRule="auto"/>
              <w:jc w:val="center"/>
              <w:rPr>
                <w:rFonts w:ascii="宋体"/>
                <w:sz w:val="24"/>
                <w:szCs w:val="24"/>
              </w:rPr>
            </w:pPr>
          </w:p>
        </w:tc>
        <w:tc>
          <w:tcPr>
            <w:tcW w:w="685" w:type="dxa"/>
            <w:vMerge/>
            <w:vAlign w:val="center"/>
          </w:tcPr>
          <w:p w:rsidR="009208BF" w:rsidRDefault="009208BF">
            <w:pPr>
              <w:spacing w:line="360" w:lineRule="auto"/>
              <w:jc w:val="center"/>
              <w:rPr>
                <w:rFonts w:ascii="宋体"/>
                <w:sz w:val="24"/>
                <w:szCs w:val="24"/>
              </w:rPr>
            </w:pPr>
          </w:p>
        </w:tc>
      </w:tr>
      <w:tr w:rsidR="009208BF" w:rsidTr="001E35D2">
        <w:trPr>
          <w:trHeight w:val="406"/>
          <w:jc w:val="center"/>
        </w:trPr>
        <w:tc>
          <w:tcPr>
            <w:tcW w:w="1809" w:type="dxa"/>
            <w:vAlign w:val="center"/>
          </w:tcPr>
          <w:p w:rsidR="009208BF" w:rsidRDefault="009208BF">
            <w:pPr>
              <w:spacing w:line="360" w:lineRule="auto"/>
              <w:jc w:val="center"/>
              <w:rPr>
                <w:rFonts w:ascii="宋体"/>
                <w:sz w:val="24"/>
                <w:szCs w:val="24"/>
              </w:rPr>
            </w:pPr>
            <w:r>
              <w:rPr>
                <w:rFonts w:ascii="宋体" w:hint="eastAsia"/>
                <w:sz w:val="24"/>
                <w:szCs w:val="24"/>
              </w:rPr>
              <w:t>白城铁路</w:t>
            </w:r>
          </w:p>
          <w:p w:rsidR="009208BF" w:rsidRDefault="009208BF">
            <w:pPr>
              <w:spacing w:line="360" w:lineRule="auto"/>
              <w:jc w:val="center"/>
              <w:rPr>
                <w:rFonts w:ascii="宋体"/>
                <w:sz w:val="24"/>
                <w:szCs w:val="24"/>
              </w:rPr>
            </w:pPr>
            <w:r>
              <w:rPr>
                <w:rFonts w:ascii="宋体" w:hint="eastAsia"/>
                <w:sz w:val="24"/>
                <w:szCs w:val="24"/>
              </w:rPr>
              <w:t>运输法院</w:t>
            </w:r>
          </w:p>
        </w:tc>
        <w:tc>
          <w:tcPr>
            <w:tcW w:w="475" w:type="dxa"/>
            <w:vAlign w:val="center"/>
          </w:tcPr>
          <w:p w:rsidR="009208BF" w:rsidRDefault="009208BF">
            <w:pPr>
              <w:spacing w:line="360" w:lineRule="auto"/>
              <w:jc w:val="center"/>
              <w:rPr>
                <w:rFonts w:ascii="宋体"/>
                <w:b/>
                <w:sz w:val="24"/>
                <w:szCs w:val="24"/>
              </w:rPr>
            </w:pPr>
            <w:r>
              <w:rPr>
                <w:rFonts w:ascii="宋体"/>
                <w:b/>
                <w:sz w:val="24"/>
                <w:szCs w:val="24"/>
              </w:rPr>
              <w:t>12</w:t>
            </w:r>
          </w:p>
        </w:tc>
        <w:tc>
          <w:tcPr>
            <w:tcW w:w="342" w:type="dxa"/>
            <w:vAlign w:val="center"/>
          </w:tcPr>
          <w:p w:rsidR="009208BF" w:rsidRDefault="009208BF">
            <w:pPr>
              <w:spacing w:line="360" w:lineRule="auto"/>
              <w:jc w:val="center"/>
              <w:rPr>
                <w:rFonts w:ascii="宋体"/>
                <w:b/>
                <w:sz w:val="24"/>
                <w:szCs w:val="24"/>
              </w:rPr>
            </w:pPr>
            <w:r>
              <w:rPr>
                <w:rFonts w:ascii="宋体"/>
                <w:b/>
                <w:sz w:val="24"/>
                <w:szCs w:val="24"/>
              </w:rPr>
              <w:t>2</w:t>
            </w:r>
          </w:p>
        </w:tc>
        <w:tc>
          <w:tcPr>
            <w:tcW w:w="343" w:type="dxa"/>
            <w:vAlign w:val="center"/>
          </w:tcPr>
          <w:p w:rsidR="009208BF" w:rsidRDefault="009208BF">
            <w:pPr>
              <w:spacing w:line="360" w:lineRule="auto"/>
              <w:jc w:val="center"/>
              <w:rPr>
                <w:rFonts w:ascii="宋体"/>
                <w:b/>
                <w:sz w:val="24"/>
                <w:szCs w:val="24"/>
              </w:rPr>
            </w:pPr>
            <w:r>
              <w:rPr>
                <w:rFonts w:ascii="宋体"/>
                <w:b/>
                <w:sz w:val="24"/>
                <w:szCs w:val="24"/>
              </w:rPr>
              <w:t>4</w:t>
            </w:r>
          </w:p>
        </w:tc>
        <w:tc>
          <w:tcPr>
            <w:tcW w:w="342" w:type="dxa"/>
            <w:vAlign w:val="center"/>
          </w:tcPr>
          <w:p w:rsidR="009208BF" w:rsidRDefault="009208BF">
            <w:pPr>
              <w:spacing w:line="360" w:lineRule="auto"/>
              <w:jc w:val="center"/>
              <w:rPr>
                <w:rFonts w:ascii="宋体"/>
                <w:b/>
                <w:sz w:val="24"/>
                <w:szCs w:val="24"/>
              </w:rPr>
            </w:pPr>
            <w:r>
              <w:rPr>
                <w:rFonts w:ascii="宋体"/>
                <w:b/>
                <w:sz w:val="24"/>
                <w:szCs w:val="24"/>
              </w:rPr>
              <w:t>1</w:t>
            </w:r>
          </w:p>
        </w:tc>
        <w:tc>
          <w:tcPr>
            <w:tcW w:w="342" w:type="dxa"/>
            <w:vAlign w:val="center"/>
          </w:tcPr>
          <w:p w:rsidR="009208BF" w:rsidRDefault="009208BF">
            <w:pPr>
              <w:spacing w:line="360" w:lineRule="auto"/>
              <w:jc w:val="center"/>
              <w:rPr>
                <w:rFonts w:ascii="宋体"/>
                <w:b/>
                <w:sz w:val="24"/>
                <w:szCs w:val="24"/>
              </w:rPr>
            </w:pPr>
            <w:r>
              <w:rPr>
                <w:rFonts w:ascii="宋体"/>
                <w:b/>
                <w:sz w:val="24"/>
                <w:szCs w:val="24"/>
              </w:rPr>
              <w:t>1</w:t>
            </w:r>
          </w:p>
        </w:tc>
        <w:tc>
          <w:tcPr>
            <w:tcW w:w="571" w:type="dxa"/>
            <w:vAlign w:val="center"/>
          </w:tcPr>
          <w:p w:rsidR="009208BF" w:rsidRDefault="009208BF">
            <w:pPr>
              <w:spacing w:line="360" w:lineRule="auto"/>
              <w:jc w:val="center"/>
              <w:rPr>
                <w:rFonts w:ascii="宋体"/>
                <w:b/>
                <w:sz w:val="24"/>
                <w:szCs w:val="24"/>
              </w:rPr>
            </w:pPr>
            <w:r>
              <w:rPr>
                <w:rFonts w:ascii="宋体"/>
                <w:b/>
                <w:sz w:val="24"/>
                <w:szCs w:val="24"/>
              </w:rPr>
              <w:t>0</w:t>
            </w:r>
          </w:p>
        </w:tc>
        <w:tc>
          <w:tcPr>
            <w:tcW w:w="704" w:type="dxa"/>
            <w:vAlign w:val="center"/>
          </w:tcPr>
          <w:p w:rsidR="009208BF" w:rsidRDefault="009208BF">
            <w:pPr>
              <w:spacing w:line="360" w:lineRule="auto"/>
              <w:jc w:val="center"/>
              <w:rPr>
                <w:rFonts w:ascii="宋体"/>
                <w:b/>
                <w:sz w:val="24"/>
                <w:szCs w:val="24"/>
              </w:rPr>
            </w:pPr>
            <w:r>
              <w:rPr>
                <w:rFonts w:ascii="宋体"/>
                <w:b/>
                <w:sz w:val="24"/>
                <w:szCs w:val="24"/>
              </w:rPr>
              <w:t>1</w:t>
            </w:r>
          </w:p>
        </w:tc>
        <w:tc>
          <w:tcPr>
            <w:tcW w:w="1014" w:type="dxa"/>
            <w:vAlign w:val="center"/>
          </w:tcPr>
          <w:p w:rsidR="009208BF" w:rsidRDefault="009208BF">
            <w:pPr>
              <w:spacing w:line="360" w:lineRule="auto"/>
              <w:jc w:val="center"/>
              <w:rPr>
                <w:rFonts w:ascii="宋体"/>
                <w:b/>
                <w:sz w:val="24"/>
                <w:szCs w:val="24"/>
              </w:rPr>
            </w:pPr>
            <w:r>
              <w:rPr>
                <w:rFonts w:ascii="宋体"/>
                <w:b/>
                <w:sz w:val="24"/>
                <w:szCs w:val="24"/>
              </w:rPr>
              <w:t>75%</w:t>
            </w:r>
          </w:p>
        </w:tc>
        <w:tc>
          <w:tcPr>
            <w:tcW w:w="721" w:type="dxa"/>
            <w:vAlign w:val="center"/>
          </w:tcPr>
          <w:p w:rsidR="009208BF" w:rsidRDefault="009208BF">
            <w:pPr>
              <w:spacing w:line="360" w:lineRule="auto"/>
              <w:jc w:val="center"/>
              <w:rPr>
                <w:rFonts w:ascii="宋体"/>
                <w:b/>
                <w:sz w:val="24"/>
                <w:szCs w:val="24"/>
              </w:rPr>
            </w:pPr>
            <w:r>
              <w:rPr>
                <w:rFonts w:ascii="宋体"/>
                <w:b/>
                <w:sz w:val="24"/>
                <w:szCs w:val="24"/>
              </w:rPr>
              <w:t>32.4</w:t>
            </w:r>
          </w:p>
        </w:tc>
        <w:tc>
          <w:tcPr>
            <w:tcW w:w="958" w:type="dxa"/>
            <w:vAlign w:val="center"/>
          </w:tcPr>
          <w:p w:rsidR="009208BF" w:rsidRDefault="009208BF">
            <w:pPr>
              <w:spacing w:line="360" w:lineRule="auto"/>
              <w:jc w:val="center"/>
              <w:rPr>
                <w:rFonts w:ascii="宋体"/>
                <w:b/>
                <w:sz w:val="24"/>
                <w:szCs w:val="24"/>
              </w:rPr>
            </w:pPr>
            <w:r>
              <w:rPr>
                <w:rFonts w:ascii="宋体"/>
                <w:b/>
                <w:sz w:val="24"/>
                <w:szCs w:val="24"/>
              </w:rPr>
              <w:t>41.61%</w:t>
            </w:r>
          </w:p>
        </w:tc>
        <w:tc>
          <w:tcPr>
            <w:tcW w:w="709" w:type="dxa"/>
            <w:vAlign w:val="center"/>
          </w:tcPr>
          <w:p w:rsidR="009208BF" w:rsidRDefault="009208BF">
            <w:pPr>
              <w:spacing w:line="360" w:lineRule="auto"/>
              <w:jc w:val="center"/>
              <w:rPr>
                <w:rFonts w:ascii="宋体"/>
                <w:b/>
                <w:sz w:val="24"/>
                <w:szCs w:val="24"/>
              </w:rPr>
            </w:pPr>
            <w:r>
              <w:rPr>
                <w:rFonts w:ascii="宋体"/>
                <w:b/>
                <w:sz w:val="24"/>
                <w:szCs w:val="24"/>
              </w:rPr>
              <w:t>1</w:t>
            </w:r>
            <w:r>
              <w:rPr>
                <w:rStyle w:val="FootnoteReference"/>
                <w:rFonts w:ascii="宋体"/>
                <w:b/>
                <w:sz w:val="24"/>
                <w:szCs w:val="24"/>
              </w:rPr>
              <w:footnoteReference w:id="4"/>
            </w:r>
          </w:p>
        </w:tc>
        <w:tc>
          <w:tcPr>
            <w:tcW w:w="685" w:type="dxa"/>
            <w:vAlign w:val="center"/>
          </w:tcPr>
          <w:p w:rsidR="009208BF" w:rsidRDefault="009208BF">
            <w:pPr>
              <w:spacing w:line="360" w:lineRule="auto"/>
              <w:jc w:val="center"/>
              <w:rPr>
                <w:rFonts w:ascii="宋体"/>
                <w:b/>
                <w:sz w:val="24"/>
                <w:szCs w:val="24"/>
              </w:rPr>
            </w:pPr>
            <w:r>
              <w:rPr>
                <w:rFonts w:ascii="宋体"/>
                <w:b/>
                <w:sz w:val="24"/>
                <w:szCs w:val="24"/>
              </w:rPr>
              <w:t>8.3%</w:t>
            </w:r>
          </w:p>
        </w:tc>
      </w:tr>
    </w:tbl>
    <w:p w:rsidR="009208BF" w:rsidRDefault="009208BF">
      <w:pPr>
        <w:spacing w:line="360" w:lineRule="auto"/>
        <w:ind w:firstLineChars="200" w:firstLine="640"/>
        <w:rPr>
          <w:rFonts w:hAnsi="Times New Roman"/>
          <w:sz w:val="32"/>
          <w:szCs w:val="32"/>
        </w:rPr>
      </w:pPr>
    </w:p>
    <w:p w:rsidR="009208BF" w:rsidRDefault="009208BF">
      <w:pPr>
        <w:spacing w:line="360" w:lineRule="auto"/>
        <w:ind w:firstLineChars="200" w:firstLine="640"/>
        <w:rPr>
          <w:rFonts w:hAnsi="Times New Roman"/>
          <w:sz w:val="32"/>
          <w:szCs w:val="32"/>
        </w:rPr>
      </w:pPr>
      <w:r>
        <w:rPr>
          <w:rFonts w:ascii="仿宋" w:eastAsia="仿宋" w:hAnsi="仿宋" w:hint="eastAsia"/>
          <w:sz w:val="32"/>
          <w:szCs w:val="32"/>
        </w:rPr>
        <w:t>审理的</w:t>
      </w:r>
      <w:r>
        <w:rPr>
          <w:rFonts w:ascii="仿宋" w:eastAsia="仿宋" w:hAnsi="仿宋"/>
          <w:sz w:val="32"/>
          <w:szCs w:val="32"/>
        </w:rPr>
        <w:t>12</w:t>
      </w:r>
      <w:r>
        <w:rPr>
          <w:rFonts w:ascii="仿宋" w:eastAsia="仿宋" w:hAnsi="仿宋" w:hint="eastAsia"/>
          <w:sz w:val="32"/>
          <w:szCs w:val="32"/>
        </w:rPr>
        <w:t>件民事案件中，物权纠纷</w:t>
      </w:r>
      <w:r>
        <w:rPr>
          <w:rFonts w:ascii="仿宋" w:eastAsia="仿宋" w:hAnsi="仿宋"/>
          <w:sz w:val="32"/>
          <w:szCs w:val="32"/>
        </w:rPr>
        <w:t>3</w:t>
      </w:r>
      <w:r>
        <w:rPr>
          <w:rFonts w:ascii="仿宋" w:eastAsia="仿宋" w:hAnsi="仿宋" w:hint="eastAsia"/>
          <w:sz w:val="32"/>
          <w:szCs w:val="32"/>
        </w:rPr>
        <w:t>件，合同纠纷</w:t>
      </w:r>
      <w:r>
        <w:rPr>
          <w:rFonts w:ascii="仿宋" w:eastAsia="仿宋" w:hAnsi="仿宋"/>
          <w:sz w:val="32"/>
          <w:szCs w:val="32"/>
        </w:rPr>
        <w:t>9</w:t>
      </w:r>
      <w:r>
        <w:rPr>
          <w:rFonts w:ascii="仿宋" w:eastAsia="仿宋" w:hAnsi="仿宋" w:hint="eastAsia"/>
          <w:sz w:val="32"/>
          <w:szCs w:val="32"/>
        </w:rPr>
        <w:t>件，劳动争议、人事争议</w:t>
      </w:r>
      <w:r>
        <w:rPr>
          <w:rFonts w:ascii="仿宋" w:eastAsia="仿宋" w:hAnsi="仿宋"/>
          <w:sz w:val="32"/>
          <w:szCs w:val="32"/>
        </w:rPr>
        <w:t>0</w:t>
      </w:r>
      <w:r>
        <w:rPr>
          <w:rFonts w:ascii="仿宋" w:eastAsia="仿宋" w:hAnsi="仿宋" w:hint="eastAsia"/>
          <w:sz w:val="32"/>
          <w:szCs w:val="32"/>
        </w:rPr>
        <w:t>件，侵权责任纠纷</w:t>
      </w:r>
      <w:r>
        <w:rPr>
          <w:rFonts w:ascii="仿宋" w:eastAsia="仿宋" w:hAnsi="仿宋"/>
          <w:sz w:val="32"/>
          <w:szCs w:val="32"/>
        </w:rPr>
        <w:t>0</w:t>
      </w:r>
      <w:r>
        <w:rPr>
          <w:rFonts w:ascii="仿宋" w:eastAsia="仿宋" w:hAnsi="仿宋" w:hint="eastAsia"/>
          <w:sz w:val="32"/>
          <w:szCs w:val="32"/>
        </w:rPr>
        <w:t>件。</w:t>
      </w:r>
    </w:p>
    <w:p w:rsidR="009208BF" w:rsidRDefault="009208BF">
      <w:pPr>
        <w:spacing w:line="360" w:lineRule="auto"/>
        <w:ind w:firstLineChars="150" w:firstLine="482"/>
        <w:rPr>
          <w:rFonts w:ascii="楷体" w:eastAsia="楷体" w:hAnsi="楷体"/>
          <w:b/>
          <w:sz w:val="32"/>
          <w:szCs w:val="32"/>
        </w:rPr>
      </w:pPr>
      <w:r>
        <w:rPr>
          <w:rFonts w:ascii="楷体" w:eastAsia="楷体" w:hAnsi="楷体" w:hint="eastAsia"/>
          <w:b/>
          <w:sz w:val="32"/>
          <w:szCs w:val="32"/>
        </w:rPr>
        <w:t>（三）执行案件</w:t>
      </w:r>
    </w:p>
    <w:p w:rsidR="009208BF" w:rsidRPr="00BE5103" w:rsidRDefault="009208BF" w:rsidP="00BE5103">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白城铁路运输法院共受理执行案件</w:t>
      </w:r>
      <w:r>
        <w:rPr>
          <w:rFonts w:ascii="仿宋" w:eastAsia="仿宋" w:hAnsi="仿宋"/>
          <w:sz w:val="32"/>
          <w:szCs w:val="32"/>
        </w:rPr>
        <w:t>20</w:t>
      </w:r>
      <w:r>
        <w:rPr>
          <w:rFonts w:ascii="仿宋" w:eastAsia="仿宋" w:hAnsi="仿宋" w:hint="eastAsia"/>
          <w:sz w:val="32"/>
          <w:szCs w:val="32"/>
        </w:rPr>
        <w:t>件（含旧存</w:t>
      </w:r>
      <w:r>
        <w:rPr>
          <w:rFonts w:ascii="仿宋" w:eastAsia="仿宋" w:hAnsi="仿宋"/>
          <w:sz w:val="32"/>
          <w:szCs w:val="32"/>
        </w:rPr>
        <w:t>1</w:t>
      </w:r>
      <w:r>
        <w:rPr>
          <w:rFonts w:ascii="仿宋" w:eastAsia="仿宋" w:hAnsi="仿宋" w:hint="eastAsia"/>
          <w:sz w:val="32"/>
          <w:szCs w:val="32"/>
        </w:rPr>
        <w:t>件，新收</w:t>
      </w:r>
      <w:r>
        <w:rPr>
          <w:rFonts w:ascii="仿宋" w:eastAsia="仿宋" w:hAnsi="仿宋"/>
          <w:sz w:val="32"/>
          <w:szCs w:val="32"/>
        </w:rPr>
        <w:t>19</w:t>
      </w:r>
      <w:r>
        <w:rPr>
          <w:rFonts w:ascii="仿宋" w:eastAsia="仿宋" w:hAnsi="仿宋" w:hint="eastAsia"/>
          <w:sz w:val="32"/>
          <w:szCs w:val="32"/>
        </w:rPr>
        <w:t>件），同比上升</w:t>
      </w:r>
      <w:r>
        <w:rPr>
          <w:rFonts w:ascii="仿宋" w:eastAsia="仿宋" w:hAnsi="仿宋"/>
          <w:sz w:val="32"/>
          <w:szCs w:val="32"/>
        </w:rPr>
        <w:t>12</w:t>
      </w:r>
      <w:r>
        <w:rPr>
          <w:rFonts w:ascii="仿宋" w:eastAsia="仿宋" w:hAnsi="仿宋" w:hint="eastAsia"/>
          <w:sz w:val="32"/>
          <w:szCs w:val="32"/>
        </w:rPr>
        <w:t>件，上升</w:t>
      </w:r>
      <w:r>
        <w:rPr>
          <w:rFonts w:ascii="仿宋" w:eastAsia="仿宋" w:hAnsi="仿宋"/>
          <w:sz w:val="32"/>
          <w:szCs w:val="32"/>
        </w:rPr>
        <w:t>150%</w:t>
      </w:r>
      <w:r>
        <w:rPr>
          <w:rFonts w:ascii="仿宋" w:eastAsia="仿宋" w:hAnsi="仿宋" w:hint="eastAsia"/>
          <w:sz w:val="32"/>
          <w:szCs w:val="32"/>
        </w:rPr>
        <w:t>，共执结</w:t>
      </w:r>
      <w:r>
        <w:rPr>
          <w:rFonts w:ascii="仿宋" w:eastAsia="仿宋" w:hAnsi="仿宋"/>
          <w:sz w:val="32"/>
          <w:szCs w:val="32"/>
        </w:rPr>
        <w:t>5</w:t>
      </w:r>
      <w:r>
        <w:rPr>
          <w:rFonts w:ascii="仿宋" w:eastAsia="仿宋" w:hAnsi="仿宋" w:hint="eastAsia"/>
          <w:sz w:val="32"/>
          <w:szCs w:val="32"/>
        </w:rPr>
        <w:t>件，执结率为</w:t>
      </w:r>
      <w:r>
        <w:rPr>
          <w:rFonts w:ascii="仿宋" w:eastAsia="仿宋" w:hAnsi="仿宋"/>
          <w:sz w:val="32"/>
          <w:szCs w:val="32"/>
        </w:rPr>
        <w:t>25%</w:t>
      </w:r>
      <w:r>
        <w:rPr>
          <w:rFonts w:ascii="仿宋" w:eastAsia="仿宋" w:hAnsi="仿宋" w:hint="eastAsia"/>
          <w:sz w:val="32"/>
          <w:szCs w:val="32"/>
        </w:rPr>
        <w:t>，同比下降</w:t>
      </w:r>
      <w:r>
        <w:rPr>
          <w:rFonts w:ascii="仿宋" w:eastAsia="仿宋" w:hAnsi="仿宋"/>
          <w:sz w:val="32"/>
          <w:szCs w:val="32"/>
        </w:rPr>
        <w:t>50</w:t>
      </w:r>
      <w:r>
        <w:rPr>
          <w:rFonts w:ascii="仿宋" w:eastAsia="仿宋" w:hAnsi="仿宋" w:hint="eastAsia"/>
          <w:sz w:val="32"/>
          <w:szCs w:val="32"/>
        </w:rPr>
        <w:t>个百分点。</w:t>
      </w:r>
    </w:p>
    <w:p w:rsidR="009208BF" w:rsidRDefault="009208BF">
      <w:pPr>
        <w:snapToGrid w:val="0"/>
        <w:spacing w:line="360" w:lineRule="auto"/>
        <w:jc w:val="center"/>
        <w:rPr>
          <w:rFonts w:ascii="Times New Roman" w:hAnsi="Times New Roman"/>
          <w:sz w:val="32"/>
          <w:szCs w:val="32"/>
        </w:rPr>
      </w:pPr>
      <w:r>
        <w:rPr>
          <w:rFonts w:ascii="宋体" w:cs="宋体" w:hint="eastAsia"/>
          <w:b/>
          <w:bCs/>
          <w:sz w:val="32"/>
          <w:szCs w:val="32"/>
        </w:rPr>
        <w:t>白城铁路运输法院执行案件列表</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1953"/>
        <w:gridCol w:w="607"/>
        <w:gridCol w:w="552"/>
        <w:gridCol w:w="360"/>
        <w:gridCol w:w="360"/>
        <w:gridCol w:w="359"/>
        <w:gridCol w:w="360"/>
        <w:gridCol w:w="969"/>
        <w:gridCol w:w="655"/>
        <w:gridCol w:w="731"/>
        <w:gridCol w:w="766"/>
        <w:gridCol w:w="1342"/>
      </w:tblGrid>
      <w:tr w:rsidR="009208BF">
        <w:trPr>
          <w:trHeight w:val="365"/>
        </w:trPr>
        <w:tc>
          <w:tcPr>
            <w:tcW w:w="9014" w:type="dxa"/>
            <w:gridSpan w:val="12"/>
            <w:shd w:val="solid" w:color="FFFFFF" w:fill="auto"/>
            <w:vAlign w:val="center"/>
          </w:tcPr>
          <w:p w:rsidR="009208BF" w:rsidRDefault="009208BF" w:rsidP="00AB6EFC">
            <w:pPr>
              <w:autoSpaceDE w:val="0"/>
              <w:autoSpaceDN w:val="0"/>
              <w:adjustRightInd w:val="0"/>
              <w:rPr>
                <w:rFonts w:ascii="Times New Roman" w:hAnsi="Times New Roman"/>
                <w:sz w:val="24"/>
                <w:szCs w:val="24"/>
              </w:rPr>
            </w:pPr>
            <w:r>
              <w:rPr>
                <w:rFonts w:ascii="宋体" w:cs="宋体"/>
                <w:sz w:val="24"/>
                <w:szCs w:val="24"/>
              </w:rPr>
              <w:t xml:space="preserve"> </w:t>
            </w: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 xml:space="preserve">2017-9-30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9208BF">
        <w:trPr>
          <w:trHeight w:val="406"/>
        </w:trPr>
        <w:tc>
          <w:tcPr>
            <w:tcW w:w="9014" w:type="dxa"/>
            <w:gridSpan w:val="12"/>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执行案件</w:t>
            </w:r>
          </w:p>
        </w:tc>
      </w:tr>
      <w:tr w:rsidR="009208BF">
        <w:trPr>
          <w:trHeight w:val="406"/>
        </w:trPr>
        <w:tc>
          <w:tcPr>
            <w:tcW w:w="1953"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1159" w:type="dxa"/>
            <w:gridSpan w:val="2"/>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4560" w:type="dxa"/>
            <w:gridSpan w:val="8"/>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1342"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r>
      <w:tr w:rsidR="009208BF">
        <w:trPr>
          <w:trHeight w:val="420"/>
        </w:trPr>
        <w:tc>
          <w:tcPr>
            <w:tcW w:w="1953"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1159" w:type="dxa"/>
            <w:gridSpan w:val="2"/>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2408" w:type="dxa"/>
            <w:gridSpan w:val="5"/>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普通执行</w:t>
            </w:r>
          </w:p>
        </w:tc>
        <w:tc>
          <w:tcPr>
            <w:tcW w:w="1386" w:type="dxa"/>
            <w:gridSpan w:val="2"/>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执行异议</w:t>
            </w:r>
          </w:p>
        </w:tc>
        <w:tc>
          <w:tcPr>
            <w:tcW w:w="766"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执行财产保全</w:t>
            </w:r>
          </w:p>
        </w:tc>
        <w:tc>
          <w:tcPr>
            <w:tcW w:w="1342"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r>
      <w:tr w:rsidR="009208BF">
        <w:trPr>
          <w:trHeight w:val="435"/>
        </w:trPr>
        <w:tc>
          <w:tcPr>
            <w:tcW w:w="1953"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1159" w:type="dxa"/>
            <w:gridSpan w:val="2"/>
            <w:vMerge/>
            <w:tcBorders>
              <w:bottom w:val="single" w:sz="4" w:space="0" w:color="auto"/>
            </w:tcBorders>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360"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执行</w:t>
            </w:r>
          </w:p>
        </w:tc>
        <w:tc>
          <w:tcPr>
            <w:tcW w:w="360"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终结</w:t>
            </w:r>
          </w:p>
        </w:tc>
        <w:tc>
          <w:tcPr>
            <w:tcW w:w="359"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驳回</w:t>
            </w:r>
          </w:p>
        </w:tc>
        <w:tc>
          <w:tcPr>
            <w:tcW w:w="360"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969"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终结本次执行程序</w:t>
            </w:r>
          </w:p>
        </w:tc>
        <w:tc>
          <w:tcPr>
            <w:tcW w:w="655"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撤回</w:t>
            </w:r>
          </w:p>
        </w:tc>
        <w:tc>
          <w:tcPr>
            <w:tcW w:w="731" w:type="dxa"/>
            <w:vMerge w:val="restart"/>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宋体" w:cs="宋体" w:hint="eastAsia"/>
                <w:b/>
                <w:bCs/>
                <w:sz w:val="24"/>
                <w:szCs w:val="24"/>
              </w:rPr>
              <w:t>异议部分成立</w:t>
            </w:r>
          </w:p>
        </w:tc>
        <w:tc>
          <w:tcPr>
            <w:tcW w:w="766"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r>
      <w:tr w:rsidR="009208BF">
        <w:trPr>
          <w:trHeight w:val="240"/>
        </w:trPr>
        <w:tc>
          <w:tcPr>
            <w:tcW w:w="1953"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607" w:type="dxa"/>
            <w:tcBorders>
              <w:top w:val="single" w:sz="4" w:space="0" w:color="auto"/>
              <w:right w:val="single" w:sz="4" w:space="0" w:color="auto"/>
            </w:tcBorders>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旧存</w:t>
            </w:r>
          </w:p>
        </w:tc>
        <w:tc>
          <w:tcPr>
            <w:tcW w:w="552" w:type="dxa"/>
            <w:tcBorders>
              <w:top w:val="single" w:sz="4" w:space="0" w:color="auto"/>
              <w:left w:val="single" w:sz="4" w:space="0" w:color="auto"/>
            </w:tcBorders>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新收</w:t>
            </w:r>
          </w:p>
        </w:tc>
        <w:tc>
          <w:tcPr>
            <w:tcW w:w="360"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360"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359"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360"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969"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655"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731" w:type="dxa"/>
            <w:vMerge/>
            <w:shd w:val="solid" w:color="FFFFFF" w:fill="auto"/>
            <w:vAlign w:val="center"/>
          </w:tcPr>
          <w:p w:rsidR="009208BF" w:rsidRDefault="009208BF">
            <w:pPr>
              <w:autoSpaceDE w:val="0"/>
              <w:autoSpaceDN w:val="0"/>
              <w:adjustRightInd w:val="0"/>
              <w:jc w:val="center"/>
              <w:rPr>
                <w:rFonts w:ascii="宋体" w:cs="宋体"/>
                <w:b/>
                <w:bCs/>
                <w:sz w:val="24"/>
                <w:szCs w:val="24"/>
              </w:rPr>
            </w:pPr>
          </w:p>
        </w:tc>
        <w:tc>
          <w:tcPr>
            <w:tcW w:w="766"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9208BF" w:rsidRDefault="009208BF">
            <w:pPr>
              <w:autoSpaceDE w:val="0"/>
              <w:autoSpaceDN w:val="0"/>
              <w:adjustRightInd w:val="0"/>
              <w:jc w:val="center"/>
              <w:rPr>
                <w:rFonts w:ascii="Times New Roman" w:hAnsi="Times New Roman"/>
                <w:b/>
                <w:bCs/>
                <w:sz w:val="24"/>
                <w:szCs w:val="24"/>
              </w:rPr>
            </w:pPr>
          </w:p>
        </w:tc>
      </w:tr>
      <w:tr w:rsidR="009208BF">
        <w:trPr>
          <w:trHeight w:val="410"/>
        </w:trPr>
        <w:tc>
          <w:tcPr>
            <w:tcW w:w="1953" w:type="dxa"/>
            <w:shd w:val="solid" w:color="FFFFFF" w:fill="auto"/>
            <w:vAlign w:val="center"/>
          </w:tcPr>
          <w:p w:rsidR="009208BF" w:rsidRDefault="009208BF">
            <w:pPr>
              <w:autoSpaceDE w:val="0"/>
              <w:autoSpaceDN w:val="0"/>
              <w:adjustRightInd w:val="0"/>
              <w:jc w:val="center"/>
              <w:rPr>
                <w:rFonts w:ascii="宋体" w:cs="宋体"/>
                <w:sz w:val="24"/>
                <w:szCs w:val="24"/>
              </w:rPr>
            </w:pPr>
            <w:r>
              <w:rPr>
                <w:rFonts w:ascii="宋体" w:cs="宋体" w:hint="eastAsia"/>
                <w:sz w:val="24"/>
                <w:szCs w:val="24"/>
              </w:rPr>
              <w:t>白城铁路</w:t>
            </w:r>
          </w:p>
          <w:p w:rsidR="009208BF" w:rsidRDefault="009208BF">
            <w:pPr>
              <w:autoSpaceDE w:val="0"/>
              <w:autoSpaceDN w:val="0"/>
              <w:adjustRightInd w:val="0"/>
              <w:jc w:val="center"/>
              <w:rPr>
                <w:rFonts w:ascii="Times New Roman" w:hAnsi="Times New Roman"/>
                <w:sz w:val="24"/>
                <w:szCs w:val="24"/>
              </w:rPr>
            </w:pPr>
            <w:r>
              <w:rPr>
                <w:rFonts w:ascii="宋体" w:cs="宋体" w:hint="eastAsia"/>
                <w:sz w:val="24"/>
                <w:szCs w:val="24"/>
              </w:rPr>
              <w:t>运输法院</w:t>
            </w:r>
          </w:p>
        </w:tc>
        <w:tc>
          <w:tcPr>
            <w:tcW w:w="607" w:type="dxa"/>
            <w:tcBorders>
              <w:right w:val="single" w:sz="4" w:space="0" w:color="auto"/>
            </w:tcBorders>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552" w:type="dxa"/>
            <w:tcBorders>
              <w:left w:val="single" w:sz="4" w:space="0" w:color="auto"/>
            </w:tcBorders>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19</w:t>
            </w:r>
          </w:p>
        </w:tc>
        <w:tc>
          <w:tcPr>
            <w:tcW w:w="360"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5</w:t>
            </w:r>
          </w:p>
        </w:tc>
        <w:tc>
          <w:tcPr>
            <w:tcW w:w="360"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59"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60"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969"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55"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31"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66"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1342" w:type="dxa"/>
            <w:shd w:val="solid" w:color="FFFFFF" w:fill="auto"/>
            <w:vAlign w:val="center"/>
          </w:tcPr>
          <w:p w:rsidR="009208BF" w:rsidRDefault="009208BF">
            <w:pPr>
              <w:autoSpaceDE w:val="0"/>
              <w:autoSpaceDN w:val="0"/>
              <w:adjustRightInd w:val="0"/>
              <w:jc w:val="center"/>
              <w:rPr>
                <w:rFonts w:ascii="Times New Roman" w:hAnsi="Times New Roman"/>
                <w:b/>
                <w:sz w:val="24"/>
                <w:szCs w:val="24"/>
              </w:rPr>
            </w:pPr>
            <w:r>
              <w:rPr>
                <w:rFonts w:ascii="Times New Roman" w:hAnsi="Times New Roman"/>
                <w:b/>
                <w:sz w:val="24"/>
                <w:szCs w:val="24"/>
              </w:rPr>
              <w:t>25%</w:t>
            </w:r>
          </w:p>
        </w:tc>
      </w:tr>
    </w:tbl>
    <w:p w:rsidR="009208BF" w:rsidRDefault="009208BF" w:rsidP="00BE5103">
      <w:pPr>
        <w:snapToGrid w:val="0"/>
        <w:spacing w:line="360" w:lineRule="auto"/>
        <w:ind w:left="0"/>
        <w:jc w:val="left"/>
        <w:rPr>
          <w:rFonts w:ascii="楷体" w:eastAsia="楷体" w:hAnsi="楷体"/>
          <w:b/>
        </w:rPr>
      </w:pP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（四）非诉保全</w:t>
      </w:r>
    </w:p>
    <w:p w:rsidR="009208BF" w:rsidRDefault="009208BF">
      <w:pPr>
        <w:widowControl/>
        <w:shd w:val="clear" w:color="auto" w:fill="FFFFFF"/>
        <w:spacing w:line="360" w:lineRule="auto"/>
        <w:ind w:firstLineChars="200" w:firstLine="640"/>
        <w:jc w:val="left"/>
        <w:rPr>
          <w:rFonts w:ascii="仿宋" w:eastAsia="仿宋" w:hAnsi="仿宋"/>
          <w:sz w:val="32"/>
          <w:szCs w:val="32"/>
        </w:rPr>
      </w:pPr>
      <w:r>
        <w:rPr>
          <w:rFonts w:ascii="仿宋" w:eastAsia="仿宋" w:hAnsi="仿宋"/>
          <w:sz w:val="32"/>
          <w:szCs w:val="32"/>
        </w:rPr>
        <w:t>1-9</w:t>
      </w:r>
      <w:r>
        <w:rPr>
          <w:rFonts w:ascii="仿宋" w:eastAsia="仿宋" w:hAnsi="仿宋" w:cs="宋体" w:hint="eastAsia"/>
          <w:sz w:val="32"/>
          <w:szCs w:val="32"/>
        </w:rPr>
        <w:t>月份</w:t>
      </w:r>
      <w:r>
        <w:rPr>
          <w:rFonts w:ascii="仿宋" w:eastAsia="仿宋" w:hAnsi="仿宋" w:hint="eastAsia"/>
          <w:sz w:val="32"/>
          <w:szCs w:val="32"/>
        </w:rPr>
        <w:t>白城铁路运输法院无非诉保全类案件</w:t>
      </w:r>
      <w:r>
        <w:rPr>
          <w:rFonts w:ascii="仿宋" w:eastAsia="仿宋" w:hAnsi="仿宋" w:cs="宋体" w:hint="eastAsia"/>
          <w:sz w:val="32"/>
          <w:szCs w:val="32"/>
        </w:rPr>
        <w:t>。</w:t>
      </w:r>
    </w:p>
    <w:p w:rsidR="009208BF" w:rsidRDefault="009208BF">
      <w:pPr>
        <w:spacing w:line="360" w:lineRule="auto"/>
        <w:ind w:left="645"/>
        <w:rPr>
          <w:rFonts w:ascii="黑体" w:eastAsia="黑体" w:hAnsi="黑体"/>
          <w:b/>
          <w:sz w:val="32"/>
          <w:szCs w:val="32"/>
        </w:rPr>
      </w:pPr>
      <w:r>
        <w:rPr>
          <w:rFonts w:ascii="黑体" w:eastAsia="黑体" w:hAnsi="黑体" w:hint="eastAsia"/>
          <w:b/>
          <w:sz w:val="32"/>
          <w:szCs w:val="32"/>
        </w:rPr>
        <w:t>三、白城铁路运输法院审判工作其他方面基本情况</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（一）法定审限结案及长期未结诉讼案件情况</w:t>
      </w:r>
    </w:p>
    <w:p w:rsidR="009208BF" w:rsidRDefault="009208BF">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白城铁路运输法院结案率为</w:t>
      </w:r>
      <w:r>
        <w:rPr>
          <w:rFonts w:ascii="仿宋" w:eastAsia="仿宋" w:hAnsi="仿宋"/>
          <w:sz w:val="32"/>
          <w:szCs w:val="32"/>
        </w:rPr>
        <w:t>56.52%</w:t>
      </w:r>
      <w:r>
        <w:rPr>
          <w:rFonts w:ascii="仿宋" w:eastAsia="仿宋" w:hAnsi="仿宋" w:cs="宋体" w:hint="eastAsia"/>
          <w:sz w:val="32"/>
          <w:szCs w:val="32"/>
        </w:rPr>
        <w:t>，法定审限内结案率为</w:t>
      </w:r>
      <w:r>
        <w:rPr>
          <w:rFonts w:ascii="仿宋" w:eastAsia="仿宋" w:hAnsi="仿宋"/>
          <w:sz w:val="32"/>
          <w:szCs w:val="32"/>
        </w:rPr>
        <w:t>100%</w:t>
      </w:r>
      <w:r>
        <w:rPr>
          <w:rFonts w:ascii="仿宋" w:eastAsia="仿宋" w:hAnsi="仿宋" w:cs="宋体" w:hint="eastAsia"/>
          <w:sz w:val="32"/>
          <w:szCs w:val="32"/>
        </w:rPr>
        <w:t>。我院共有</w:t>
      </w:r>
      <w:r>
        <w:rPr>
          <w:rFonts w:ascii="仿宋" w:eastAsia="仿宋" w:hAnsi="仿宋" w:cs="宋体"/>
          <w:sz w:val="32"/>
          <w:szCs w:val="32"/>
        </w:rPr>
        <w:t>2</w:t>
      </w:r>
      <w:r>
        <w:rPr>
          <w:rFonts w:ascii="仿宋" w:eastAsia="仿宋" w:hAnsi="仿宋" w:cs="宋体" w:hint="eastAsia"/>
          <w:sz w:val="32"/>
          <w:szCs w:val="32"/>
        </w:rPr>
        <w:t>起刑事案件延长审限，延长审限的原因为附带民事诉讼。</w:t>
      </w:r>
    </w:p>
    <w:p w:rsidR="009208BF" w:rsidRDefault="009208BF">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我院尚未有长期未结诉讼案件。</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（二）审判质效情况</w:t>
      </w:r>
    </w:p>
    <w:p w:rsidR="009208BF" w:rsidRDefault="009208BF">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一审服判息诉情况</w:t>
      </w:r>
    </w:p>
    <w:p w:rsidR="009208BF" w:rsidRDefault="009208BF">
      <w:pPr>
        <w:spacing w:line="360" w:lineRule="auto"/>
        <w:ind w:firstLineChars="200" w:firstLine="640"/>
        <w:rPr>
          <w:rFonts w:ascii="仿宋" w:eastAsia="仿宋" w:hAnsi="仿宋"/>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刑事案件</w:t>
      </w:r>
      <w:r>
        <w:rPr>
          <w:rFonts w:ascii="仿宋" w:eastAsia="仿宋" w:hAnsi="仿宋" w:cs="宋体" w:hint="eastAsia"/>
          <w:color w:val="000000"/>
          <w:sz w:val="32"/>
          <w:szCs w:val="32"/>
        </w:rPr>
        <w:t>一审服判息诉率</w:t>
      </w:r>
      <w:r>
        <w:rPr>
          <w:rStyle w:val="FootnoteReference"/>
          <w:rFonts w:ascii="仿宋" w:eastAsia="仿宋" w:hAnsi="仿宋" w:cs="??_GB2312"/>
          <w:color w:val="000000"/>
          <w:sz w:val="32"/>
          <w:szCs w:val="32"/>
        </w:rPr>
        <w:footnoteReference w:id="5"/>
      </w:r>
      <w:r>
        <w:rPr>
          <w:rFonts w:ascii="仿宋" w:eastAsia="仿宋" w:hAnsi="仿宋" w:hint="eastAsia"/>
          <w:sz w:val="32"/>
          <w:szCs w:val="32"/>
        </w:rPr>
        <w:t>为</w:t>
      </w:r>
      <w:r>
        <w:rPr>
          <w:rFonts w:ascii="仿宋" w:eastAsia="仿宋" w:hAnsi="仿宋"/>
          <w:sz w:val="32"/>
          <w:szCs w:val="32"/>
        </w:rPr>
        <w:t>100%</w:t>
      </w:r>
      <w:r>
        <w:rPr>
          <w:rFonts w:ascii="仿宋" w:eastAsia="仿宋" w:hAnsi="仿宋" w:hint="eastAsia"/>
          <w:sz w:val="32"/>
          <w:szCs w:val="32"/>
        </w:rPr>
        <w:t>，同比无变化</w:t>
      </w:r>
      <w:r>
        <w:rPr>
          <w:rFonts w:ascii="仿宋" w:eastAsia="仿宋" w:hAnsi="仿宋"/>
          <w:sz w:val="32"/>
          <w:szCs w:val="32"/>
        </w:rPr>
        <w:t>;</w:t>
      </w:r>
      <w:r>
        <w:rPr>
          <w:rFonts w:ascii="仿宋" w:eastAsia="仿宋" w:hAnsi="仿宋" w:hint="eastAsia"/>
          <w:sz w:val="32"/>
          <w:szCs w:val="32"/>
        </w:rPr>
        <w:t>民事案件的一审服判息诉率为</w:t>
      </w:r>
      <w:r>
        <w:rPr>
          <w:rFonts w:ascii="仿宋" w:eastAsia="仿宋" w:hAnsi="仿宋"/>
          <w:sz w:val="32"/>
          <w:szCs w:val="32"/>
        </w:rPr>
        <w:t>100%</w:t>
      </w:r>
      <w:r>
        <w:rPr>
          <w:rFonts w:ascii="仿宋" w:eastAsia="仿宋" w:hAnsi="仿宋" w:hint="eastAsia"/>
          <w:sz w:val="32"/>
          <w:szCs w:val="32"/>
        </w:rPr>
        <w:t>，同比上升</w:t>
      </w:r>
      <w:r>
        <w:rPr>
          <w:rFonts w:ascii="仿宋" w:eastAsia="仿宋" w:hAnsi="仿宋"/>
          <w:sz w:val="32"/>
          <w:szCs w:val="32"/>
        </w:rPr>
        <w:t>33</w:t>
      </w:r>
      <w:r>
        <w:rPr>
          <w:rFonts w:ascii="仿宋" w:eastAsia="仿宋" w:hAnsi="仿宋" w:hint="eastAsia"/>
          <w:sz w:val="32"/>
          <w:szCs w:val="32"/>
        </w:rPr>
        <w:t>个百分点。</w:t>
      </w:r>
    </w:p>
    <w:p w:rsidR="009208BF" w:rsidRDefault="009208BF">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案件被发改情况</w:t>
      </w:r>
    </w:p>
    <w:p w:rsidR="009208BF" w:rsidRDefault="009208BF">
      <w:pPr>
        <w:spacing w:line="360" w:lineRule="auto"/>
        <w:ind w:firstLineChars="200" w:firstLine="640"/>
        <w:rPr>
          <w:rFonts w:hAnsi="Times New Roman"/>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案件被发改率为</w:t>
      </w:r>
      <w:r>
        <w:rPr>
          <w:rFonts w:ascii="仿宋" w:eastAsia="仿宋" w:hAnsi="仿宋"/>
          <w:sz w:val="32"/>
          <w:szCs w:val="32"/>
        </w:rPr>
        <w:t>0</w:t>
      </w:r>
      <w:r>
        <w:rPr>
          <w:rFonts w:ascii="仿宋" w:eastAsia="仿宋" w:hAnsi="仿宋" w:hint="eastAsia"/>
          <w:sz w:val="32"/>
          <w:szCs w:val="32"/>
        </w:rPr>
        <w:t>，维持率为</w:t>
      </w:r>
      <w:r>
        <w:rPr>
          <w:rFonts w:ascii="仿宋" w:eastAsia="仿宋" w:hAnsi="仿宋"/>
          <w:sz w:val="32"/>
          <w:szCs w:val="32"/>
        </w:rPr>
        <w:t>100%</w:t>
      </w:r>
      <w:r>
        <w:rPr>
          <w:rFonts w:hAnsi="Times New Roman" w:hint="eastAsia"/>
          <w:sz w:val="32"/>
          <w:szCs w:val="32"/>
        </w:rPr>
        <w:t>。</w:t>
      </w:r>
    </w:p>
    <w:p w:rsidR="009208BF" w:rsidRDefault="009208BF">
      <w:pPr>
        <w:spacing w:line="360" w:lineRule="auto"/>
        <w:ind w:firstLineChars="200" w:firstLine="643"/>
        <w:rPr>
          <w:rFonts w:hAnsi="Times New Roman"/>
          <w:sz w:val="32"/>
          <w:szCs w:val="32"/>
        </w:rPr>
      </w:pPr>
      <w:r>
        <w:rPr>
          <w:rFonts w:ascii="楷体" w:eastAsia="楷体" w:hAnsi="楷体" w:cs="楷体" w:hint="eastAsia"/>
          <w:b/>
          <w:bCs/>
          <w:sz w:val="32"/>
          <w:szCs w:val="32"/>
        </w:rPr>
        <w:t>（三）小额诉讼及简易程序适用情况</w:t>
      </w:r>
    </w:p>
    <w:p w:rsidR="009208BF" w:rsidRDefault="009208BF">
      <w:pPr>
        <w:spacing w:line="360" w:lineRule="auto"/>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cs="宋体" w:hint="eastAsia"/>
          <w:sz w:val="32"/>
          <w:szCs w:val="32"/>
        </w:rPr>
        <w:t>白城铁路运输法院</w:t>
      </w:r>
      <w:r>
        <w:rPr>
          <w:rFonts w:ascii="仿宋" w:eastAsia="仿宋" w:hAnsi="仿宋" w:hint="eastAsia"/>
          <w:sz w:val="32"/>
          <w:szCs w:val="32"/>
        </w:rPr>
        <w:t>简易程序适用率为</w:t>
      </w:r>
      <w:r>
        <w:rPr>
          <w:rFonts w:ascii="仿宋" w:eastAsia="仿宋" w:hAnsi="仿宋"/>
          <w:sz w:val="32"/>
          <w:szCs w:val="32"/>
        </w:rPr>
        <w:t>80.77%</w:t>
      </w:r>
      <w:r>
        <w:rPr>
          <w:rFonts w:ascii="仿宋" w:eastAsia="仿宋" w:hAnsi="仿宋" w:hint="eastAsia"/>
          <w:sz w:val="32"/>
          <w:szCs w:val="32"/>
        </w:rPr>
        <w:t>，同比上升</w:t>
      </w:r>
      <w:r>
        <w:rPr>
          <w:rFonts w:ascii="仿宋" w:eastAsia="仿宋" w:hAnsi="仿宋"/>
          <w:sz w:val="32"/>
          <w:szCs w:val="32"/>
        </w:rPr>
        <w:t>19.66</w:t>
      </w:r>
      <w:r>
        <w:rPr>
          <w:rFonts w:ascii="仿宋" w:eastAsia="仿宋" w:hAnsi="仿宋" w:hint="eastAsia"/>
          <w:sz w:val="32"/>
          <w:szCs w:val="32"/>
        </w:rPr>
        <w:t>个百分点。其中，刑事案件简易程序适用率为</w:t>
      </w:r>
      <w:r>
        <w:rPr>
          <w:rFonts w:ascii="仿宋" w:eastAsia="仿宋" w:hAnsi="仿宋"/>
          <w:sz w:val="32"/>
          <w:szCs w:val="32"/>
        </w:rPr>
        <w:t>78.57%</w:t>
      </w:r>
      <w:r>
        <w:rPr>
          <w:rFonts w:ascii="仿宋" w:eastAsia="仿宋" w:hAnsi="仿宋" w:hint="eastAsia"/>
          <w:sz w:val="32"/>
          <w:szCs w:val="32"/>
        </w:rPr>
        <w:t>，同比下降</w:t>
      </w:r>
      <w:r>
        <w:rPr>
          <w:rFonts w:ascii="仿宋" w:eastAsia="仿宋" w:hAnsi="仿宋"/>
          <w:sz w:val="32"/>
          <w:szCs w:val="32"/>
        </w:rPr>
        <w:t>1.43</w:t>
      </w:r>
      <w:r>
        <w:rPr>
          <w:rFonts w:ascii="仿宋" w:eastAsia="仿宋" w:hAnsi="仿宋" w:hint="eastAsia"/>
          <w:sz w:val="32"/>
          <w:szCs w:val="32"/>
        </w:rPr>
        <w:t>个百分点；民事案件简易程序适用率为</w:t>
      </w:r>
      <w:r>
        <w:rPr>
          <w:rFonts w:ascii="仿宋" w:eastAsia="仿宋" w:hAnsi="仿宋"/>
          <w:sz w:val="32"/>
          <w:szCs w:val="32"/>
        </w:rPr>
        <w:t>83.33%</w:t>
      </w:r>
      <w:r>
        <w:rPr>
          <w:rFonts w:ascii="仿宋" w:eastAsia="仿宋" w:hAnsi="仿宋" w:hint="eastAsia"/>
          <w:sz w:val="32"/>
          <w:szCs w:val="32"/>
        </w:rPr>
        <w:t>，同比上升</w:t>
      </w:r>
      <w:r>
        <w:rPr>
          <w:rFonts w:ascii="仿宋" w:eastAsia="仿宋" w:hAnsi="仿宋"/>
          <w:sz w:val="32"/>
          <w:szCs w:val="32"/>
        </w:rPr>
        <w:t>45.83</w:t>
      </w:r>
      <w:r>
        <w:rPr>
          <w:rFonts w:ascii="仿宋" w:eastAsia="仿宋" w:hAnsi="仿宋" w:hint="eastAsia"/>
          <w:sz w:val="32"/>
          <w:szCs w:val="32"/>
        </w:rPr>
        <w:t>个百分点。</w:t>
      </w:r>
    </w:p>
    <w:p w:rsidR="009208BF" w:rsidRPr="0017283A" w:rsidRDefault="009208BF" w:rsidP="0017283A">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白城铁路运输法院共受理民事一审案件</w:t>
      </w:r>
      <w:r>
        <w:rPr>
          <w:rFonts w:ascii="仿宋" w:eastAsia="仿宋" w:hAnsi="仿宋" w:cs="宋体"/>
          <w:sz w:val="32"/>
          <w:szCs w:val="32"/>
        </w:rPr>
        <w:t>12</w:t>
      </w:r>
      <w:r>
        <w:rPr>
          <w:rFonts w:ascii="仿宋" w:eastAsia="仿宋" w:hAnsi="仿宋" w:cs="宋体" w:hint="eastAsia"/>
          <w:sz w:val="32"/>
          <w:szCs w:val="32"/>
        </w:rPr>
        <w:t>件，其中适用简易程序审理的案件</w:t>
      </w:r>
      <w:r>
        <w:rPr>
          <w:rFonts w:ascii="仿宋" w:eastAsia="仿宋" w:hAnsi="仿宋" w:cs="宋体"/>
          <w:sz w:val="32"/>
          <w:szCs w:val="32"/>
        </w:rPr>
        <w:t>10</w:t>
      </w:r>
      <w:r>
        <w:rPr>
          <w:rFonts w:ascii="仿宋" w:eastAsia="仿宋" w:hAnsi="仿宋" w:cs="宋体" w:hint="eastAsia"/>
          <w:sz w:val="32"/>
          <w:szCs w:val="32"/>
        </w:rPr>
        <w:t>件，占</w:t>
      </w:r>
      <w:r>
        <w:rPr>
          <w:rFonts w:ascii="仿宋" w:eastAsia="仿宋" w:hAnsi="仿宋" w:cs="宋体"/>
          <w:sz w:val="32"/>
          <w:szCs w:val="32"/>
        </w:rPr>
        <w:t>83.33%</w:t>
      </w:r>
      <w:r>
        <w:rPr>
          <w:rFonts w:ascii="仿宋" w:eastAsia="仿宋" w:hAnsi="仿宋" w:cs="宋体" w:hint="eastAsia"/>
          <w:sz w:val="32"/>
          <w:szCs w:val="32"/>
        </w:rPr>
        <w:t>。适用简易程序的案件中，适用小额诉讼程序案件</w:t>
      </w:r>
      <w:r>
        <w:rPr>
          <w:rFonts w:ascii="仿宋" w:eastAsia="仿宋" w:hAnsi="仿宋" w:cs="宋体"/>
          <w:sz w:val="32"/>
          <w:szCs w:val="32"/>
        </w:rPr>
        <w:t>0</w:t>
      </w:r>
      <w:r>
        <w:rPr>
          <w:rFonts w:ascii="仿宋" w:eastAsia="仿宋" w:hAnsi="仿宋" w:cs="宋体" w:hint="eastAsia"/>
          <w:sz w:val="32"/>
          <w:szCs w:val="32"/>
        </w:rPr>
        <w:t>件，满足小额诉讼程序的案件有</w:t>
      </w:r>
      <w:r>
        <w:rPr>
          <w:rFonts w:ascii="仿宋" w:eastAsia="仿宋" w:hAnsi="仿宋" w:cs="宋体"/>
          <w:sz w:val="32"/>
          <w:szCs w:val="32"/>
        </w:rPr>
        <w:t>0</w:t>
      </w:r>
      <w:r>
        <w:rPr>
          <w:rFonts w:ascii="仿宋" w:eastAsia="仿宋" w:hAnsi="仿宋" w:cs="宋体" w:hint="eastAsia"/>
          <w:sz w:val="32"/>
          <w:szCs w:val="32"/>
        </w:rPr>
        <w:t>件。</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（四）裁判文书上网情况</w:t>
      </w:r>
      <w:r>
        <w:rPr>
          <w:rStyle w:val="FootnoteReference"/>
          <w:rFonts w:ascii="楷体" w:eastAsia="楷体" w:hAnsi="楷体"/>
          <w:b/>
          <w:sz w:val="32"/>
          <w:szCs w:val="32"/>
        </w:rPr>
        <w:footnoteReference w:id="6"/>
      </w:r>
    </w:p>
    <w:p w:rsidR="009208BF" w:rsidRDefault="009208BF">
      <w:pPr>
        <w:snapToGrid w:val="0"/>
        <w:spacing w:line="360" w:lineRule="auto"/>
        <w:jc w:val="center"/>
        <w:rPr>
          <w:rFonts w:ascii="Times New Roman" w:hAnsi="Times New Roman"/>
          <w:sz w:val="32"/>
          <w:szCs w:val="32"/>
        </w:rPr>
      </w:pPr>
      <w:r>
        <w:rPr>
          <w:rFonts w:ascii="宋体" w:cs="宋体" w:hint="eastAsia"/>
          <w:b/>
          <w:bCs/>
          <w:sz w:val="32"/>
          <w:szCs w:val="32"/>
        </w:rPr>
        <w:t>白城铁路运输法院裁判文书上网情况列表</w:t>
      </w:r>
      <w:r>
        <w:rPr>
          <w:rStyle w:val="FootnoteReference"/>
          <w:rFonts w:ascii="Times New Roman" w:hAnsi="Times New Roman"/>
          <w:b/>
          <w:bCs/>
          <w:sz w:val="32"/>
          <w:szCs w:val="32"/>
        </w:rPr>
        <w:footnoteReference w:id="7"/>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3"/>
        <w:gridCol w:w="1212"/>
        <w:gridCol w:w="1211"/>
        <w:gridCol w:w="1832"/>
        <w:gridCol w:w="1386"/>
      </w:tblGrid>
      <w:tr w:rsidR="009208BF">
        <w:trPr>
          <w:jc w:val="center"/>
        </w:trPr>
        <w:tc>
          <w:tcPr>
            <w:tcW w:w="9014" w:type="dxa"/>
            <w:gridSpan w:val="5"/>
            <w:vAlign w:val="center"/>
          </w:tcPr>
          <w:p w:rsidR="009208BF" w:rsidRDefault="009208BF" w:rsidP="00C152A4">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w:t>
              </w:r>
              <w:r>
                <w:rPr>
                  <w:rFonts w:ascii="宋体"/>
                  <w:sz w:val="24"/>
                  <w:szCs w:val="24"/>
                </w:rPr>
                <w:t>7</w:t>
              </w:r>
              <w:r>
                <w:rPr>
                  <w:rFonts w:ascii="Times New Roman" w:hAnsi="Times New Roman"/>
                  <w:sz w:val="24"/>
                  <w:szCs w:val="24"/>
                </w:rPr>
                <w:t>-01-01</w:t>
              </w:r>
            </w:smartTag>
            <w:r>
              <w:rPr>
                <w:rFonts w:ascii="宋体" w:cs="宋体" w:hint="eastAsia"/>
                <w:sz w:val="24"/>
                <w:szCs w:val="24"/>
              </w:rPr>
              <w:t>到</w:t>
            </w:r>
            <w:r>
              <w:rPr>
                <w:rFonts w:ascii="Times New Roman" w:hAnsi="Times New Roman"/>
                <w:sz w:val="24"/>
                <w:szCs w:val="24"/>
              </w:rPr>
              <w:t>201</w:t>
            </w:r>
            <w:r>
              <w:rPr>
                <w:rFonts w:ascii="宋体"/>
                <w:sz w:val="24"/>
                <w:szCs w:val="24"/>
              </w:rPr>
              <w:t>7</w:t>
            </w:r>
            <w:r>
              <w:rPr>
                <w:rFonts w:ascii="Times New Roman" w:hAnsi="Times New Roman"/>
                <w:sz w:val="24"/>
                <w:szCs w:val="24"/>
              </w:rPr>
              <w:t>-</w:t>
            </w:r>
            <w:r>
              <w:rPr>
                <w:rFonts w:ascii="宋体"/>
                <w:sz w:val="24"/>
                <w:szCs w:val="24"/>
              </w:rPr>
              <w:t>09</w:t>
            </w:r>
            <w:r>
              <w:rPr>
                <w:rFonts w:ascii="Times New Roman" w:hAnsi="Times New Roman"/>
                <w:sz w:val="24"/>
                <w:szCs w:val="24"/>
              </w:rPr>
              <w:t xml:space="preserve">-30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9208BF">
        <w:trPr>
          <w:jc w:val="center"/>
        </w:trPr>
        <w:tc>
          <w:tcPr>
            <w:tcW w:w="3373" w:type="dxa"/>
            <w:vAlign w:val="center"/>
          </w:tcPr>
          <w:p w:rsidR="009208BF" w:rsidRDefault="009208BF">
            <w:pPr>
              <w:autoSpaceDE w:val="0"/>
              <w:autoSpaceDN w:val="0"/>
              <w:adjustRightInd w:val="0"/>
              <w:jc w:val="center"/>
              <w:rPr>
                <w:rFonts w:ascii="Times New Roman" w:hAnsi="Times New Roman"/>
                <w:b/>
                <w:sz w:val="24"/>
                <w:szCs w:val="24"/>
              </w:rPr>
            </w:pPr>
            <w:r>
              <w:rPr>
                <w:rFonts w:ascii="宋体" w:cs="宋体" w:hint="eastAsia"/>
                <w:b/>
                <w:sz w:val="24"/>
                <w:szCs w:val="24"/>
              </w:rPr>
              <w:t>法院</w:t>
            </w:r>
          </w:p>
        </w:tc>
        <w:tc>
          <w:tcPr>
            <w:tcW w:w="1212" w:type="dxa"/>
            <w:vAlign w:val="center"/>
          </w:tcPr>
          <w:p w:rsidR="009208BF" w:rsidRDefault="009208BF">
            <w:pPr>
              <w:autoSpaceDE w:val="0"/>
              <w:autoSpaceDN w:val="0"/>
              <w:adjustRightInd w:val="0"/>
              <w:jc w:val="center"/>
              <w:rPr>
                <w:rFonts w:ascii="Times New Roman" w:hAnsi="Times New Roman"/>
                <w:b/>
                <w:sz w:val="24"/>
                <w:szCs w:val="24"/>
              </w:rPr>
            </w:pPr>
            <w:r>
              <w:rPr>
                <w:rFonts w:ascii="宋体" w:cs="宋体" w:hint="eastAsia"/>
                <w:b/>
                <w:sz w:val="24"/>
                <w:szCs w:val="24"/>
              </w:rPr>
              <w:t>上网数</w:t>
            </w:r>
          </w:p>
        </w:tc>
        <w:tc>
          <w:tcPr>
            <w:tcW w:w="1211" w:type="dxa"/>
            <w:vAlign w:val="center"/>
          </w:tcPr>
          <w:p w:rsidR="009208BF" w:rsidRDefault="009208BF">
            <w:pPr>
              <w:autoSpaceDE w:val="0"/>
              <w:autoSpaceDN w:val="0"/>
              <w:adjustRightInd w:val="0"/>
              <w:jc w:val="center"/>
              <w:rPr>
                <w:rFonts w:ascii="Times New Roman" w:hAnsi="Times New Roman"/>
                <w:b/>
                <w:sz w:val="24"/>
                <w:szCs w:val="24"/>
              </w:rPr>
            </w:pPr>
            <w:r>
              <w:rPr>
                <w:rFonts w:ascii="宋体" w:cs="宋体" w:hint="eastAsia"/>
                <w:b/>
                <w:sz w:val="24"/>
                <w:szCs w:val="24"/>
              </w:rPr>
              <w:t>结案数</w:t>
            </w:r>
          </w:p>
        </w:tc>
        <w:tc>
          <w:tcPr>
            <w:tcW w:w="1832" w:type="dxa"/>
            <w:vAlign w:val="center"/>
          </w:tcPr>
          <w:p w:rsidR="009208BF" w:rsidRDefault="009208BF">
            <w:pPr>
              <w:autoSpaceDE w:val="0"/>
              <w:autoSpaceDN w:val="0"/>
              <w:adjustRightInd w:val="0"/>
              <w:jc w:val="center"/>
              <w:rPr>
                <w:rFonts w:ascii="Times New Roman" w:hAnsi="Times New Roman"/>
                <w:b/>
                <w:sz w:val="24"/>
                <w:szCs w:val="24"/>
              </w:rPr>
            </w:pPr>
            <w:r>
              <w:rPr>
                <w:rFonts w:ascii="宋体" w:cs="宋体" w:hint="eastAsia"/>
                <w:b/>
                <w:sz w:val="24"/>
                <w:szCs w:val="24"/>
              </w:rPr>
              <w:t>民事调解数</w:t>
            </w:r>
          </w:p>
        </w:tc>
        <w:tc>
          <w:tcPr>
            <w:tcW w:w="1386" w:type="dxa"/>
            <w:vAlign w:val="center"/>
          </w:tcPr>
          <w:p w:rsidR="009208BF" w:rsidRDefault="009208BF">
            <w:pPr>
              <w:autoSpaceDE w:val="0"/>
              <w:autoSpaceDN w:val="0"/>
              <w:adjustRightInd w:val="0"/>
              <w:jc w:val="center"/>
              <w:rPr>
                <w:rFonts w:ascii="Times New Roman" w:hAnsi="Times New Roman"/>
                <w:b/>
                <w:sz w:val="24"/>
                <w:szCs w:val="24"/>
              </w:rPr>
            </w:pPr>
            <w:r>
              <w:rPr>
                <w:rFonts w:ascii="宋体" w:cs="宋体" w:hint="eastAsia"/>
                <w:b/>
                <w:sz w:val="24"/>
                <w:szCs w:val="24"/>
              </w:rPr>
              <w:t>上网率</w:t>
            </w:r>
          </w:p>
        </w:tc>
      </w:tr>
      <w:tr w:rsidR="009208BF">
        <w:trPr>
          <w:jc w:val="center"/>
        </w:trPr>
        <w:tc>
          <w:tcPr>
            <w:tcW w:w="3373" w:type="dxa"/>
            <w:vAlign w:val="center"/>
          </w:tcPr>
          <w:p w:rsidR="009208BF" w:rsidRDefault="009208BF">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1212" w:type="dxa"/>
            <w:vAlign w:val="center"/>
          </w:tcPr>
          <w:p w:rsidR="009208BF" w:rsidRDefault="009208BF" w:rsidP="00C152A4">
            <w:pPr>
              <w:widowControl/>
              <w:jc w:val="center"/>
              <w:rPr>
                <w:rFonts w:ascii="Times New Roman" w:hAnsi="Times New Roman"/>
                <w:b/>
                <w:sz w:val="24"/>
                <w:szCs w:val="24"/>
              </w:rPr>
            </w:pPr>
            <w:r>
              <w:rPr>
                <w:rFonts w:ascii="Times New Roman" w:hAnsi="Times New Roman"/>
                <w:b/>
                <w:sz w:val="24"/>
                <w:szCs w:val="24"/>
              </w:rPr>
              <w:t>22</w:t>
            </w:r>
          </w:p>
        </w:tc>
        <w:tc>
          <w:tcPr>
            <w:tcW w:w="1211" w:type="dxa"/>
            <w:vAlign w:val="center"/>
          </w:tcPr>
          <w:p w:rsidR="009208BF" w:rsidRDefault="009208BF" w:rsidP="00C152A4">
            <w:pPr>
              <w:widowControl/>
              <w:jc w:val="center"/>
              <w:rPr>
                <w:rFonts w:ascii="Times New Roman" w:hAnsi="Times New Roman"/>
                <w:b/>
                <w:sz w:val="24"/>
                <w:szCs w:val="24"/>
              </w:rPr>
            </w:pPr>
            <w:r>
              <w:rPr>
                <w:rFonts w:ascii="Times New Roman" w:hAnsi="Times New Roman"/>
                <w:b/>
                <w:sz w:val="24"/>
                <w:szCs w:val="24"/>
              </w:rPr>
              <w:t>26</w:t>
            </w:r>
          </w:p>
        </w:tc>
        <w:tc>
          <w:tcPr>
            <w:tcW w:w="1832" w:type="dxa"/>
            <w:vAlign w:val="center"/>
          </w:tcPr>
          <w:p w:rsidR="009208BF" w:rsidRDefault="009208BF">
            <w:pPr>
              <w:widowControl/>
              <w:jc w:val="center"/>
              <w:rPr>
                <w:rFonts w:ascii="Times New Roman" w:hAnsi="Times New Roman"/>
                <w:b/>
                <w:sz w:val="24"/>
                <w:szCs w:val="24"/>
              </w:rPr>
            </w:pPr>
            <w:r>
              <w:rPr>
                <w:rFonts w:ascii="Times New Roman" w:hAnsi="Times New Roman"/>
                <w:b/>
                <w:sz w:val="24"/>
                <w:szCs w:val="24"/>
              </w:rPr>
              <w:t>4</w:t>
            </w:r>
          </w:p>
        </w:tc>
        <w:tc>
          <w:tcPr>
            <w:tcW w:w="1386" w:type="dxa"/>
            <w:vAlign w:val="center"/>
          </w:tcPr>
          <w:p w:rsidR="009208BF" w:rsidRDefault="009208BF">
            <w:pPr>
              <w:widowControl/>
              <w:jc w:val="center"/>
              <w:rPr>
                <w:rFonts w:ascii="Times New Roman" w:hAnsi="Times New Roman"/>
                <w:b/>
                <w:sz w:val="24"/>
                <w:szCs w:val="24"/>
              </w:rPr>
            </w:pPr>
            <w:r>
              <w:rPr>
                <w:rFonts w:ascii="Times New Roman" w:hAnsi="Times New Roman"/>
                <w:b/>
                <w:sz w:val="24"/>
                <w:szCs w:val="24"/>
              </w:rPr>
              <w:t>100%</w:t>
            </w:r>
          </w:p>
        </w:tc>
      </w:tr>
    </w:tbl>
    <w:p w:rsidR="009208BF" w:rsidRDefault="009208BF">
      <w:pPr>
        <w:snapToGrid w:val="0"/>
        <w:spacing w:line="360" w:lineRule="auto"/>
        <w:jc w:val="left"/>
        <w:rPr>
          <w:rFonts w:ascii="宋体" w:cs="宋体"/>
        </w:rPr>
      </w:pPr>
      <w:r>
        <w:rPr>
          <w:rFonts w:ascii="宋体" w:cs="宋体"/>
        </w:rPr>
        <w:t xml:space="preserve"> </w:t>
      </w:r>
    </w:p>
    <w:p w:rsidR="009208BF" w:rsidRDefault="009208BF">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已结的</w:t>
      </w:r>
      <w:r>
        <w:rPr>
          <w:rFonts w:ascii="仿宋" w:eastAsia="仿宋" w:hAnsi="仿宋" w:cs="宋体"/>
          <w:sz w:val="32"/>
          <w:szCs w:val="32"/>
        </w:rPr>
        <w:t>26</w:t>
      </w:r>
      <w:r>
        <w:rPr>
          <w:rFonts w:ascii="仿宋" w:eastAsia="仿宋" w:hAnsi="仿宋" w:cs="宋体" w:hint="eastAsia"/>
          <w:sz w:val="32"/>
          <w:szCs w:val="32"/>
        </w:rPr>
        <w:t>件案件中，除</w:t>
      </w:r>
      <w:r>
        <w:rPr>
          <w:rFonts w:ascii="仿宋" w:eastAsia="仿宋" w:hAnsi="仿宋" w:cs="宋体"/>
          <w:sz w:val="32"/>
          <w:szCs w:val="32"/>
        </w:rPr>
        <w:t>4</w:t>
      </w:r>
      <w:r>
        <w:rPr>
          <w:rFonts w:ascii="仿宋" w:eastAsia="仿宋" w:hAnsi="仿宋" w:cs="宋体" w:hint="eastAsia"/>
          <w:sz w:val="32"/>
          <w:szCs w:val="32"/>
        </w:rPr>
        <w:t>件调解案件外均已上网。其中调解案件及非裁判文书也已制作不公开文书清单上传至中国裁判文书网后台。</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（五）案件调撤率</w:t>
      </w:r>
    </w:p>
    <w:p w:rsidR="009208BF" w:rsidRDefault="009208BF">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白城铁路运输法院</w:t>
      </w:r>
      <w:r>
        <w:rPr>
          <w:rFonts w:ascii="仿宋" w:eastAsia="仿宋" w:hAnsi="仿宋" w:cs="宋体"/>
          <w:sz w:val="32"/>
          <w:szCs w:val="32"/>
        </w:rPr>
        <w:t>2017</w:t>
      </w:r>
      <w:r>
        <w:rPr>
          <w:rFonts w:ascii="仿宋" w:eastAsia="仿宋" w:hAnsi="仿宋" w:cs="宋体" w:hint="eastAsia"/>
          <w:sz w:val="32"/>
          <w:szCs w:val="32"/>
        </w:rPr>
        <w:t>年</w:t>
      </w:r>
      <w:r>
        <w:rPr>
          <w:rFonts w:ascii="仿宋" w:eastAsia="仿宋" w:hAnsi="仿宋" w:cs="宋体"/>
          <w:sz w:val="32"/>
          <w:szCs w:val="32"/>
        </w:rPr>
        <w:t>1-9</w:t>
      </w:r>
      <w:r>
        <w:rPr>
          <w:rFonts w:ascii="仿宋" w:eastAsia="仿宋" w:hAnsi="仿宋" w:cs="宋体" w:hint="eastAsia"/>
          <w:sz w:val="32"/>
          <w:szCs w:val="32"/>
        </w:rPr>
        <w:t>月已结民事案件</w:t>
      </w:r>
      <w:r>
        <w:rPr>
          <w:rFonts w:ascii="仿宋" w:eastAsia="仿宋" w:hAnsi="仿宋" w:cs="宋体"/>
          <w:sz w:val="32"/>
          <w:szCs w:val="32"/>
        </w:rPr>
        <w:t>9</w:t>
      </w:r>
      <w:r>
        <w:rPr>
          <w:rFonts w:ascii="仿宋" w:eastAsia="仿宋" w:hAnsi="仿宋" w:cs="宋体" w:hint="eastAsia"/>
          <w:sz w:val="32"/>
          <w:szCs w:val="32"/>
        </w:rPr>
        <w:t>件，调解</w:t>
      </w:r>
      <w:r>
        <w:rPr>
          <w:rFonts w:ascii="仿宋" w:eastAsia="仿宋" w:hAnsi="仿宋" w:cs="宋体"/>
          <w:sz w:val="32"/>
          <w:szCs w:val="32"/>
        </w:rPr>
        <w:t>4</w:t>
      </w:r>
      <w:r>
        <w:rPr>
          <w:rFonts w:ascii="仿宋" w:eastAsia="仿宋" w:hAnsi="仿宋" w:cs="宋体" w:hint="eastAsia"/>
          <w:sz w:val="32"/>
          <w:szCs w:val="32"/>
        </w:rPr>
        <w:t>件，调撤率</w:t>
      </w:r>
      <w:r>
        <w:rPr>
          <w:rFonts w:ascii="仿宋" w:eastAsia="仿宋" w:hAnsi="仿宋" w:cs="宋体"/>
          <w:sz w:val="32"/>
          <w:szCs w:val="32"/>
        </w:rPr>
        <w:t>41.67%</w:t>
      </w:r>
      <w:r>
        <w:rPr>
          <w:rFonts w:ascii="仿宋" w:eastAsia="仿宋" w:hAnsi="仿宋" w:cs="宋体" w:hint="eastAsia"/>
          <w:sz w:val="32"/>
          <w:szCs w:val="32"/>
        </w:rPr>
        <w:t>。同比下降</w:t>
      </w:r>
      <w:r>
        <w:rPr>
          <w:rFonts w:ascii="仿宋" w:eastAsia="仿宋" w:hAnsi="仿宋" w:cs="宋体"/>
          <w:sz w:val="32"/>
          <w:szCs w:val="32"/>
        </w:rPr>
        <w:t>8.33</w:t>
      </w:r>
      <w:r>
        <w:rPr>
          <w:rFonts w:ascii="仿宋" w:eastAsia="仿宋" w:hAnsi="仿宋" w:cs="宋体" w:hint="eastAsia"/>
          <w:sz w:val="32"/>
          <w:szCs w:val="32"/>
        </w:rPr>
        <w:t>个百分点。</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（六）卷宗电子化情况</w:t>
      </w:r>
      <w:r>
        <w:rPr>
          <w:rStyle w:val="FootnoteReference"/>
          <w:rFonts w:ascii="楷体" w:eastAsia="楷体" w:hAnsi="楷体"/>
          <w:b/>
          <w:sz w:val="32"/>
          <w:szCs w:val="32"/>
        </w:rPr>
        <w:footnoteReference w:id="8"/>
      </w:r>
    </w:p>
    <w:p w:rsidR="009208BF" w:rsidRDefault="009208BF">
      <w:pPr>
        <w:snapToGrid w:val="0"/>
        <w:spacing w:line="360" w:lineRule="auto"/>
        <w:ind w:firstLineChars="200" w:firstLine="64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7"/>
        </w:smartTag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w:t>
        </w:r>
        <w:r>
          <w:rPr>
            <w:rFonts w:ascii="仿宋" w:eastAsia="仿宋" w:hAnsi="仿宋" w:cs="宋体" w:hint="eastAsia"/>
            <w:sz w:val="32"/>
            <w:szCs w:val="32"/>
          </w:rPr>
          <w:t>月</w:t>
        </w:r>
        <w:r>
          <w:rPr>
            <w:rFonts w:ascii="仿宋" w:eastAsia="仿宋" w:hAnsi="仿宋"/>
            <w:sz w:val="32"/>
            <w:szCs w:val="32"/>
          </w:rPr>
          <w:t>1</w:t>
        </w:r>
        <w:r>
          <w:rPr>
            <w:rFonts w:ascii="仿宋" w:eastAsia="仿宋" w:hAnsi="仿宋" w:cs="宋体" w:hint="eastAsia"/>
            <w:sz w:val="32"/>
            <w:szCs w:val="32"/>
          </w:rPr>
          <w:t>日</w:t>
        </w:r>
      </w:smartTag>
      <w:r>
        <w:rPr>
          <w:rFonts w:ascii="仿宋" w:eastAsia="仿宋" w:hAnsi="仿宋" w:cs="宋体" w:hint="eastAsia"/>
          <w:sz w:val="32"/>
          <w:szCs w:val="32"/>
        </w:rPr>
        <w:t>至</w:t>
      </w: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9</w:t>
      </w:r>
      <w:r>
        <w:rPr>
          <w:rFonts w:ascii="仿宋" w:eastAsia="仿宋" w:hAnsi="仿宋" w:cs="宋体" w:hint="eastAsia"/>
          <w:sz w:val="32"/>
          <w:szCs w:val="32"/>
        </w:rPr>
        <w:t>月</w:t>
      </w:r>
      <w:r>
        <w:rPr>
          <w:rFonts w:ascii="仿宋" w:eastAsia="仿宋" w:hAnsi="仿宋"/>
          <w:sz w:val="32"/>
          <w:szCs w:val="32"/>
        </w:rPr>
        <w:t>30</w:t>
      </w:r>
      <w:r>
        <w:rPr>
          <w:rFonts w:ascii="仿宋" w:eastAsia="仿宋" w:hAnsi="仿宋" w:cs="宋体" w:hint="eastAsia"/>
          <w:sz w:val="32"/>
          <w:szCs w:val="32"/>
        </w:rPr>
        <w:t>日白城铁路运输法院受理各类案件共</w:t>
      </w:r>
      <w:r>
        <w:rPr>
          <w:rFonts w:ascii="仿宋" w:eastAsia="仿宋" w:hAnsi="仿宋"/>
          <w:sz w:val="32"/>
          <w:szCs w:val="32"/>
        </w:rPr>
        <w:t>46</w:t>
      </w:r>
      <w:r>
        <w:rPr>
          <w:rFonts w:ascii="仿宋" w:eastAsia="仿宋" w:hAnsi="仿宋" w:cs="宋体" w:hint="eastAsia"/>
          <w:sz w:val="32"/>
          <w:szCs w:val="32"/>
        </w:rPr>
        <w:t>件，有结案文书的案件共</w:t>
      </w:r>
      <w:r>
        <w:rPr>
          <w:rFonts w:ascii="仿宋" w:eastAsia="仿宋" w:hAnsi="仿宋"/>
          <w:sz w:val="32"/>
          <w:szCs w:val="32"/>
        </w:rPr>
        <w:t>26</w:t>
      </w:r>
      <w:r>
        <w:rPr>
          <w:rFonts w:ascii="仿宋" w:eastAsia="仿宋" w:hAnsi="仿宋" w:cs="宋体" w:hint="eastAsia"/>
          <w:sz w:val="32"/>
          <w:szCs w:val="32"/>
        </w:rPr>
        <w:t>件，有电子卷宗的案件共</w:t>
      </w:r>
      <w:r>
        <w:rPr>
          <w:rFonts w:ascii="仿宋" w:eastAsia="仿宋" w:hAnsi="仿宋"/>
          <w:sz w:val="32"/>
          <w:szCs w:val="32"/>
        </w:rPr>
        <w:t>26</w:t>
      </w:r>
      <w:r>
        <w:rPr>
          <w:rFonts w:ascii="仿宋" w:eastAsia="仿宋" w:hAnsi="仿宋" w:cs="宋体" w:hint="eastAsia"/>
          <w:sz w:val="32"/>
          <w:szCs w:val="32"/>
        </w:rPr>
        <w:t>件。</w:t>
      </w:r>
    </w:p>
    <w:p w:rsidR="009208BF" w:rsidRDefault="009208BF">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刑事案件共</w:t>
      </w:r>
      <w:r>
        <w:rPr>
          <w:rFonts w:ascii="仿宋" w:eastAsia="仿宋" w:hAnsi="仿宋"/>
          <w:sz w:val="32"/>
          <w:szCs w:val="32"/>
        </w:rPr>
        <w:t>14</w:t>
      </w:r>
      <w:r>
        <w:rPr>
          <w:rFonts w:ascii="仿宋" w:eastAsia="仿宋" w:hAnsi="仿宋" w:cs="宋体" w:hint="eastAsia"/>
          <w:sz w:val="32"/>
          <w:szCs w:val="32"/>
        </w:rPr>
        <w:t>件，占各类案件总数的</w:t>
      </w:r>
      <w:r>
        <w:rPr>
          <w:rFonts w:ascii="仿宋" w:eastAsia="仿宋" w:hAnsi="仿宋"/>
          <w:sz w:val="32"/>
          <w:szCs w:val="32"/>
        </w:rPr>
        <w:t>30.43%</w:t>
      </w:r>
      <w:r>
        <w:rPr>
          <w:rFonts w:ascii="仿宋" w:eastAsia="仿宋" w:hAnsi="仿宋" w:cs="宋体" w:hint="eastAsia"/>
          <w:sz w:val="32"/>
          <w:szCs w:val="32"/>
        </w:rPr>
        <w:t>，其中有结案文书的案件共</w:t>
      </w:r>
      <w:r>
        <w:rPr>
          <w:rFonts w:ascii="仿宋" w:eastAsia="仿宋" w:hAnsi="仿宋"/>
          <w:sz w:val="32"/>
          <w:szCs w:val="32"/>
        </w:rPr>
        <w:t>12</w:t>
      </w:r>
      <w:r>
        <w:rPr>
          <w:rFonts w:ascii="仿宋" w:eastAsia="仿宋" w:hAnsi="仿宋" w:cs="宋体" w:hint="eastAsia"/>
          <w:sz w:val="32"/>
          <w:szCs w:val="32"/>
        </w:rPr>
        <w:t>件，有电子卷宗案件共</w:t>
      </w:r>
      <w:r>
        <w:rPr>
          <w:rFonts w:ascii="仿宋" w:eastAsia="仿宋" w:hAnsi="仿宋"/>
          <w:sz w:val="32"/>
          <w:szCs w:val="32"/>
        </w:rPr>
        <w:t>12</w:t>
      </w:r>
      <w:r>
        <w:rPr>
          <w:rFonts w:ascii="仿宋" w:eastAsia="仿宋" w:hAnsi="仿宋" w:cs="宋体" w:hint="eastAsia"/>
          <w:sz w:val="32"/>
          <w:szCs w:val="32"/>
        </w:rPr>
        <w:t>件。</w:t>
      </w:r>
    </w:p>
    <w:p w:rsidR="009208BF" w:rsidRDefault="009208BF">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民事案件共</w:t>
      </w:r>
      <w:r>
        <w:rPr>
          <w:rFonts w:ascii="仿宋" w:eastAsia="仿宋" w:hAnsi="仿宋"/>
          <w:sz w:val="32"/>
          <w:szCs w:val="32"/>
        </w:rPr>
        <w:t>12</w:t>
      </w:r>
      <w:r>
        <w:rPr>
          <w:rFonts w:ascii="仿宋" w:eastAsia="仿宋" w:hAnsi="仿宋" w:cs="宋体" w:hint="eastAsia"/>
          <w:sz w:val="32"/>
          <w:szCs w:val="32"/>
        </w:rPr>
        <w:t>件，占各类案件总数的</w:t>
      </w:r>
      <w:r>
        <w:rPr>
          <w:rFonts w:ascii="仿宋" w:eastAsia="仿宋" w:hAnsi="仿宋"/>
          <w:sz w:val="32"/>
          <w:szCs w:val="32"/>
        </w:rPr>
        <w:t>26.07%</w:t>
      </w:r>
      <w:r>
        <w:rPr>
          <w:rFonts w:ascii="仿宋" w:eastAsia="仿宋" w:hAnsi="仿宋" w:cs="宋体" w:hint="eastAsia"/>
          <w:sz w:val="32"/>
          <w:szCs w:val="32"/>
        </w:rPr>
        <w:t>，其中有结</w:t>
      </w:r>
      <w:bookmarkStart w:id="0" w:name="_GoBack"/>
      <w:bookmarkEnd w:id="0"/>
      <w:r>
        <w:rPr>
          <w:rFonts w:ascii="仿宋" w:eastAsia="仿宋" w:hAnsi="仿宋" w:cs="宋体" w:hint="eastAsia"/>
          <w:sz w:val="32"/>
          <w:szCs w:val="32"/>
        </w:rPr>
        <w:t>案文书的案件共</w:t>
      </w:r>
      <w:r>
        <w:rPr>
          <w:rFonts w:ascii="仿宋" w:eastAsia="仿宋" w:hAnsi="仿宋"/>
          <w:sz w:val="32"/>
          <w:szCs w:val="32"/>
        </w:rPr>
        <w:t>9</w:t>
      </w:r>
      <w:r>
        <w:rPr>
          <w:rFonts w:ascii="仿宋" w:eastAsia="仿宋" w:hAnsi="仿宋" w:cs="宋体" w:hint="eastAsia"/>
          <w:sz w:val="32"/>
          <w:szCs w:val="32"/>
        </w:rPr>
        <w:t>件，有电子卷宗案件共</w:t>
      </w:r>
      <w:r>
        <w:rPr>
          <w:rFonts w:ascii="仿宋" w:eastAsia="仿宋" w:hAnsi="仿宋"/>
          <w:sz w:val="32"/>
          <w:szCs w:val="32"/>
        </w:rPr>
        <w:t>9</w:t>
      </w:r>
      <w:r>
        <w:rPr>
          <w:rFonts w:ascii="仿宋" w:eastAsia="仿宋" w:hAnsi="仿宋" w:cs="宋体" w:hint="eastAsia"/>
          <w:sz w:val="32"/>
          <w:szCs w:val="32"/>
        </w:rPr>
        <w:t>件。</w:t>
      </w:r>
    </w:p>
    <w:p w:rsidR="009208BF" w:rsidRDefault="009208BF">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执行案件共</w:t>
      </w:r>
      <w:r>
        <w:rPr>
          <w:rFonts w:ascii="仿宋" w:eastAsia="仿宋" w:hAnsi="仿宋"/>
          <w:sz w:val="32"/>
          <w:szCs w:val="32"/>
        </w:rPr>
        <w:t>20</w:t>
      </w:r>
      <w:r>
        <w:rPr>
          <w:rFonts w:ascii="仿宋" w:eastAsia="仿宋" w:hAnsi="仿宋" w:cs="宋体" w:hint="eastAsia"/>
          <w:sz w:val="32"/>
          <w:szCs w:val="32"/>
        </w:rPr>
        <w:t>件，占各类案件总数的</w:t>
      </w:r>
      <w:r>
        <w:rPr>
          <w:rFonts w:ascii="仿宋" w:eastAsia="仿宋" w:hAnsi="仿宋"/>
          <w:sz w:val="32"/>
          <w:szCs w:val="32"/>
        </w:rPr>
        <w:t>43.48%</w:t>
      </w:r>
      <w:r>
        <w:rPr>
          <w:rFonts w:ascii="仿宋" w:eastAsia="仿宋" w:hAnsi="仿宋" w:cs="宋体" w:hint="eastAsia"/>
          <w:sz w:val="32"/>
          <w:szCs w:val="32"/>
        </w:rPr>
        <w:t>，其中有结案文书的案件共</w:t>
      </w:r>
      <w:r>
        <w:rPr>
          <w:rFonts w:ascii="仿宋" w:eastAsia="仿宋" w:hAnsi="仿宋"/>
          <w:sz w:val="32"/>
          <w:szCs w:val="32"/>
        </w:rPr>
        <w:t>5</w:t>
      </w:r>
      <w:r>
        <w:rPr>
          <w:rFonts w:ascii="仿宋" w:eastAsia="仿宋" w:hAnsi="仿宋" w:cs="宋体" w:hint="eastAsia"/>
          <w:sz w:val="32"/>
          <w:szCs w:val="32"/>
        </w:rPr>
        <w:t>件，有电子卷宗案件共</w:t>
      </w:r>
      <w:r>
        <w:rPr>
          <w:rFonts w:ascii="仿宋" w:eastAsia="仿宋" w:hAnsi="仿宋"/>
          <w:sz w:val="32"/>
          <w:szCs w:val="32"/>
        </w:rPr>
        <w:t>5</w:t>
      </w:r>
      <w:r>
        <w:rPr>
          <w:rFonts w:ascii="仿宋" w:eastAsia="仿宋" w:hAnsi="仿宋" w:cs="宋体" w:hint="eastAsia"/>
          <w:sz w:val="32"/>
          <w:szCs w:val="32"/>
        </w:rPr>
        <w:t>件。</w:t>
      </w:r>
    </w:p>
    <w:p w:rsidR="009208BF" w:rsidRDefault="009208BF">
      <w:pPr>
        <w:snapToGrid w:val="0"/>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审判监督案件共</w:t>
      </w:r>
      <w:r>
        <w:rPr>
          <w:rFonts w:ascii="仿宋" w:eastAsia="仿宋" w:hAnsi="仿宋"/>
          <w:sz w:val="32"/>
          <w:szCs w:val="32"/>
        </w:rPr>
        <w:t>0</w:t>
      </w:r>
      <w:r>
        <w:rPr>
          <w:rFonts w:ascii="仿宋" w:eastAsia="仿宋" w:hAnsi="仿宋" w:cs="宋体" w:hint="eastAsia"/>
          <w:sz w:val="32"/>
          <w:szCs w:val="32"/>
        </w:rPr>
        <w:t>件，占各类案件总数的</w:t>
      </w:r>
      <w:r>
        <w:rPr>
          <w:rFonts w:ascii="仿宋" w:eastAsia="仿宋" w:hAnsi="仿宋"/>
          <w:sz w:val="32"/>
          <w:szCs w:val="32"/>
        </w:rPr>
        <w:t>0.00%</w:t>
      </w:r>
      <w:r>
        <w:rPr>
          <w:rFonts w:ascii="仿宋" w:eastAsia="仿宋" w:hAnsi="仿宋" w:cs="宋体" w:hint="eastAsia"/>
          <w:sz w:val="32"/>
          <w:szCs w:val="32"/>
        </w:rPr>
        <w:t>，其中有文书的案件共</w:t>
      </w:r>
      <w:r>
        <w:rPr>
          <w:rFonts w:ascii="仿宋" w:eastAsia="仿宋" w:hAnsi="仿宋"/>
          <w:sz w:val="32"/>
          <w:szCs w:val="32"/>
        </w:rPr>
        <w:t>0</w:t>
      </w:r>
      <w:r>
        <w:rPr>
          <w:rFonts w:ascii="仿宋" w:eastAsia="仿宋" w:hAnsi="仿宋" w:cs="宋体" w:hint="eastAsia"/>
          <w:sz w:val="32"/>
          <w:szCs w:val="32"/>
        </w:rPr>
        <w:t>件，有结案文书的案件共</w:t>
      </w:r>
      <w:r>
        <w:rPr>
          <w:rFonts w:ascii="仿宋" w:eastAsia="仿宋" w:hAnsi="仿宋"/>
          <w:sz w:val="32"/>
          <w:szCs w:val="32"/>
        </w:rPr>
        <w:t>0</w:t>
      </w:r>
      <w:r>
        <w:rPr>
          <w:rFonts w:ascii="仿宋" w:eastAsia="仿宋" w:hAnsi="仿宋" w:cs="宋体" w:hint="eastAsia"/>
          <w:sz w:val="32"/>
          <w:szCs w:val="32"/>
        </w:rPr>
        <w:t>件，有电子卷宗案件共</w:t>
      </w:r>
      <w:r>
        <w:rPr>
          <w:rFonts w:ascii="仿宋" w:eastAsia="仿宋" w:hAnsi="仿宋"/>
          <w:sz w:val="32"/>
          <w:szCs w:val="32"/>
        </w:rPr>
        <w:t>0</w:t>
      </w:r>
      <w:r>
        <w:rPr>
          <w:rFonts w:ascii="仿宋" w:eastAsia="仿宋" w:hAnsi="仿宋" w:cs="宋体" w:hint="eastAsia"/>
          <w:sz w:val="32"/>
          <w:szCs w:val="32"/>
        </w:rPr>
        <w:t>件。</w:t>
      </w:r>
    </w:p>
    <w:p w:rsidR="009208BF" w:rsidRDefault="009208BF">
      <w:pPr>
        <w:snapToGrid w:val="0"/>
        <w:spacing w:line="360" w:lineRule="auto"/>
        <w:ind w:firstLineChars="200" w:firstLine="643"/>
        <w:jc w:val="center"/>
        <w:rPr>
          <w:rFonts w:ascii="Times New Roman" w:hAnsi="Times New Roman"/>
          <w:sz w:val="32"/>
          <w:szCs w:val="32"/>
        </w:rPr>
      </w:pPr>
      <w:r>
        <w:rPr>
          <w:rFonts w:ascii="宋体" w:cs="宋体" w:hint="eastAsia"/>
          <w:b/>
          <w:bCs/>
          <w:sz w:val="32"/>
          <w:szCs w:val="32"/>
        </w:rPr>
        <w:t>白城铁路运输法院档案归档情况列表</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3"/>
        <w:gridCol w:w="507"/>
        <w:gridCol w:w="542"/>
        <w:gridCol w:w="545"/>
        <w:gridCol w:w="431"/>
        <w:gridCol w:w="506"/>
        <w:gridCol w:w="990"/>
        <w:gridCol w:w="567"/>
        <w:gridCol w:w="727"/>
        <w:gridCol w:w="775"/>
        <w:gridCol w:w="921"/>
      </w:tblGrid>
      <w:tr w:rsidR="009208BF">
        <w:trPr>
          <w:trHeight w:val="345"/>
          <w:jc w:val="center"/>
        </w:trPr>
        <w:tc>
          <w:tcPr>
            <w:tcW w:w="9014" w:type="dxa"/>
            <w:gridSpan w:val="11"/>
            <w:shd w:val="clear" w:color="000000" w:fill="FFFFFF"/>
            <w:vAlign w:val="center"/>
          </w:tcPr>
          <w:p w:rsidR="009208BF" w:rsidRDefault="009208BF" w:rsidP="0036002F">
            <w:pPr>
              <w:autoSpaceDE w:val="0"/>
              <w:autoSpaceDN w:val="0"/>
              <w:adjustRightInd w:val="0"/>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r>
              <w:rPr>
                <w:rFonts w:ascii="Times New Roman" w:hAnsi="Times New Roman"/>
                <w:sz w:val="24"/>
                <w:szCs w:val="24"/>
              </w:rPr>
              <w:t xml:space="preserve">2017-9-30                                  </w:t>
            </w:r>
            <w:r>
              <w:rPr>
                <w:rFonts w:ascii="宋体" w:cs="宋体" w:hint="eastAsia"/>
                <w:sz w:val="24"/>
                <w:szCs w:val="24"/>
              </w:rPr>
              <w:t>单位：件</w:t>
            </w:r>
          </w:p>
        </w:tc>
      </w:tr>
      <w:tr w:rsidR="009208BF" w:rsidRPr="00610AFC" w:rsidTr="0078083C">
        <w:trPr>
          <w:trHeight w:val="345"/>
          <w:jc w:val="center"/>
        </w:trPr>
        <w:tc>
          <w:tcPr>
            <w:tcW w:w="2503" w:type="dxa"/>
            <w:vMerge w:val="restart"/>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法院</w:t>
            </w:r>
          </w:p>
        </w:tc>
        <w:tc>
          <w:tcPr>
            <w:tcW w:w="507" w:type="dxa"/>
            <w:vMerge w:val="restart"/>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结案</w:t>
            </w:r>
          </w:p>
        </w:tc>
        <w:tc>
          <w:tcPr>
            <w:tcW w:w="1087" w:type="dxa"/>
            <w:gridSpan w:val="2"/>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上诉</w:t>
            </w:r>
          </w:p>
        </w:tc>
        <w:tc>
          <w:tcPr>
            <w:tcW w:w="2494" w:type="dxa"/>
            <w:gridSpan w:val="4"/>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应归档案件数</w:t>
            </w:r>
          </w:p>
        </w:tc>
        <w:tc>
          <w:tcPr>
            <w:tcW w:w="2423" w:type="dxa"/>
            <w:gridSpan w:val="3"/>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归档案件中</w:t>
            </w:r>
          </w:p>
        </w:tc>
      </w:tr>
      <w:tr w:rsidR="009208BF" w:rsidRPr="00610AFC" w:rsidTr="0078083C">
        <w:trPr>
          <w:trHeight w:val="540"/>
          <w:jc w:val="center"/>
        </w:trPr>
        <w:tc>
          <w:tcPr>
            <w:tcW w:w="2503" w:type="dxa"/>
            <w:vMerge/>
            <w:shd w:val="clear" w:color="000000" w:fill="FFFFFF"/>
            <w:vAlign w:val="center"/>
          </w:tcPr>
          <w:p w:rsidR="009208BF" w:rsidRPr="00132A19" w:rsidRDefault="009208BF">
            <w:pPr>
              <w:autoSpaceDE w:val="0"/>
              <w:autoSpaceDN w:val="0"/>
              <w:adjustRightInd w:val="0"/>
              <w:jc w:val="center"/>
              <w:rPr>
                <w:rFonts w:ascii="宋体"/>
                <w:b/>
                <w:sz w:val="24"/>
                <w:szCs w:val="24"/>
              </w:rPr>
            </w:pPr>
          </w:p>
        </w:tc>
        <w:tc>
          <w:tcPr>
            <w:tcW w:w="507" w:type="dxa"/>
            <w:vMerge/>
            <w:shd w:val="clear" w:color="000000" w:fill="FFFFFF"/>
            <w:vAlign w:val="center"/>
          </w:tcPr>
          <w:p w:rsidR="009208BF" w:rsidRPr="00132A19" w:rsidRDefault="009208BF">
            <w:pPr>
              <w:autoSpaceDE w:val="0"/>
              <w:autoSpaceDN w:val="0"/>
              <w:adjustRightInd w:val="0"/>
              <w:jc w:val="center"/>
              <w:rPr>
                <w:rFonts w:ascii="宋体"/>
                <w:b/>
                <w:sz w:val="24"/>
                <w:szCs w:val="24"/>
              </w:rPr>
            </w:pPr>
          </w:p>
        </w:tc>
        <w:tc>
          <w:tcPr>
            <w:tcW w:w="542"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上诉未归档</w:t>
            </w:r>
          </w:p>
        </w:tc>
        <w:tc>
          <w:tcPr>
            <w:tcW w:w="545"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上诉已归档</w:t>
            </w:r>
          </w:p>
        </w:tc>
        <w:tc>
          <w:tcPr>
            <w:tcW w:w="431"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未归档</w:t>
            </w:r>
          </w:p>
        </w:tc>
        <w:tc>
          <w:tcPr>
            <w:tcW w:w="506"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已归档</w:t>
            </w:r>
          </w:p>
        </w:tc>
        <w:tc>
          <w:tcPr>
            <w:tcW w:w="990"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归档率</w:t>
            </w:r>
          </w:p>
        </w:tc>
        <w:tc>
          <w:tcPr>
            <w:tcW w:w="567"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归档</w:t>
            </w:r>
          </w:p>
        </w:tc>
        <w:tc>
          <w:tcPr>
            <w:tcW w:w="727"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3</w:t>
            </w:r>
            <w:r w:rsidRPr="00132A19">
              <w:rPr>
                <w:rFonts w:ascii="宋体" w:hAnsi="宋体" w:cs="宋体" w:hint="eastAsia"/>
                <w:b/>
                <w:sz w:val="24"/>
                <w:szCs w:val="24"/>
              </w:rPr>
              <w:t>个月内归档</w:t>
            </w:r>
          </w:p>
        </w:tc>
        <w:tc>
          <w:tcPr>
            <w:tcW w:w="775"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6</w:t>
            </w:r>
            <w:r w:rsidRPr="00132A19">
              <w:rPr>
                <w:rFonts w:ascii="宋体" w:hAnsi="宋体" w:cs="宋体" w:hint="eastAsia"/>
                <w:b/>
                <w:sz w:val="24"/>
                <w:szCs w:val="24"/>
              </w:rPr>
              <w:t>个月内归档</w:t>
            </w:r>
          </w:p>
        </w:tc>
        <w:tc>
          <w:tcPr>
            <w:tcW w:w="921"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结案后超过</w:t>
            </w:r>
            <w:r w:rsidRPr="00132A19">
              <w:rPr>
                <w:rFonts w:ascii="宋体" w:hAnsi="宋体"/>
                <w:b/>
                <w:sz w:val="24"/>
                <w:szCs w:val="24"/>
              </w:rPr>
              <w:t>6</w:t>
            </w:r>
            <w:r w:rsidRPr="00132A19">
              <w:rPr>
                <w:rFonts w:ascii="宋体" w:hAnsi="宋体" w:cs="宋体" w:hint="eastAsia"/>
                <w:b/>
                <w:sz w:val="24"/>
                <w:szCs w:val="24"/>
              </w:rPr>
              <w:t>个月归档</w:t>
            </w:r>
          </w:p>
        </w:tc>
      </w:tr>
      <w:tr w:rsidR="009208BF" w:rsidRPr="00610AFC" w:rsidTr="0078083C">
        <w:trPr>
          <w:trHeight w:val="600"/>
          <w:jc w:val="center"/>
        </w:trPr>
        <w:tc>
          <w:tcPr>
            <w:tcW w:w="2503" w:type="dxa"/>
            <w:shd w:val="clear" w:color="000000" w:fill="FFFFFF"/>
            <w:vAlign w:val="center"/>
          </w:tcPr>
          <w:p w:rsidR="009208BF" w:rsidRPr="00132A19" w:rsidRDefault="009208BF">
            <w:pPr>
              <w:autoSpaceDE w:val="0"/>
              <w:autoSpaceDN w:val="0"/>
              <w:adjustRightInd w:val="0"/>
              <w:jc w:val="center"/>
              <w:rPr>
                <w:rFonts w:ascii="宋体"/>
                <w:b/>
                <w:sz w:val="24"/>
                <w:szCs w:val="24"/>
              </w:rPr>
            </w:pPr>
            <w:r w:rsidRPr="00132A19">
              <w:rPr>
                <w:rFonts w:ascii="宋体" w:hAnsi="宋体" w:cs="宋体" w:hint="eastAsia"/>
                <w:b/>
                <w:sz w:val="24"/>
                <w:szCs w:val="24"/>
              </w:rPr>
              <w:t>白城铁路运输法院</w:t>
            </w:r>
          </w:p>
        </w:tc>
        <w:tc>
          <w:tcPr>
            <w:tcW w:w="507" w:type="dxa"/>
            <w:shd w:val="clear" w:color="000000" w:fill="FFFFFF"/>
            <w:vAlign w:val="center"/>
          </w:tcPr>
          <w:p w:rsidR="009208BF" w:rsidRPr="00132A19" w:rsidRDefault="009208BF" w:rsidP="0036002F">
            <w:pPr>
              <w:jc w:val="center"/>
              <w:rPr>
                <w:rFonts w:ascii="Times New Roman" w:hAnsi="Times New Roman"/>
                <w:b/>
                <w:bCs/>
                <w:sz w:val="24"/>
                <w:szCs w:val="24"/>
              </w:rPr>
            </w:pPr>
            <w:r>
              <w:rPr>
                <w:rFonts w:ascii="Times New Roman" w:hAnsi="Times New Roman"/>
                <w:b/>
                <w:bCs/>
                <w:sz w:val="24"/>
                <w:szCs w:val="24"/>
              </w:rPr>
              <w:t>26</w:t>
            </w:r>
          </w:p>
        </w:tc>
        <w:tc>
          <w:tcPr>
            <w:tcW w:w="542" w:type="dxa"/>
            <w:shd w:val="clear" w:color="000000" w:fill="FFFFFF"/>
            <w:vAlign w:val="center"/>
          </w:tcPr>
          <w:p w:rsidR="009208BF" w:rsidRPr="00132A19" w:rsidRDefault="009208BF">
            <w:pPr>
              <w:jc w:val="center"/>
              <w:rPr>
                <w:rFonts w:ascii="Times New Roman" w:hAnsi="Times New Roman"/>
                <w:b/>
                <w:bCs/>
                <w:sz w:val="24"/>
                <w:szCs w:val="24"/>
              </w:rPr>
            </w:pPr>
            <w:r w:rsidRPr="00132A19">
              <w:rPr>
                <w:rFonts w:ascii="Times New Roman" w:hAnsi="Times New Roman"/>
                <w:b/>
                <w:bCs/>
                <w:sz w:val="24"/>
                <w:szCs w:val="24"/>
              </w:rPr>
              <w:t>0</w:t>
            </w:r>
          </w:p>
        </w:tc>
        <w:tc>
          <w:tcPr>
            <w:tcW w:w="545" w:type="dxa"/>
            <w:shd w:val="clear" w:color="000000" w:fill="FFFFFF"/>
            <w:vAlign w:val="center"/>
          </w:tcPr>
          <w:p w:rsidR="009208BF" w:rsidRPr="00132A19" w:rsidRDefault="009208BF">
            <w:pPr>
              <w:jc w:val="center"/>
              <w:rPr>
                <w:rFonts w:ascii="Times New Roman" w:hAnsi="Times New Roman"/>
                <w:b/>
                <w:bCs/>
                <w:sz w:val="24"/>
                <w:szCs w:val="24"/>
              </w:rPr>
            </w:pPr>
            <w:r w:rsidRPr="00132A19">
              <w:rPr>
                <w:rFonts w:ascii="Times New Roman" w:hAnsi="Times New Roman"/>
                <w:b/>
                <w:bCs/>
                <w:sz w:val="24"/>
                <w:szCs w:val="24"/>
              </w:rPr>
              <w:t>0</w:t>
            </w:r>
          </w:p>
        </w:tc>
        <w:tc>
          <w:tcPr>
            <w:tcW w:w="431" w:type="dxa"/>
            <w:shd w:val="clear" w:color="000000" w:fill="FFFFFF"/>
            <w:vAlign w:val="center"/>
          </w:tcPr>
          <w:p w:rsidR="009208BF" w:rsidRPr="00132A19" w:rsidRDefault="009208BF">
            <w:pPr>
              <w:jc w:val="center"/>
              <w:rPr>
                <w:rFonts w:ascii="Times New Roman" w:hAnsi="Times New Roman"/>
                <w:b/>
                <w:bCs/>
                <w:sz w:val="24"/>
                <w:szCs w:val="24"/>
              </w:rPr>
            </w:pPr>
            <w:r>
              <w:rPr>
                <w:rFonts w:ascii="Times New Roman" w:hAnsi="Times New Roman"/>
                <w:b/>
                <w:bCs/>
                <w:sz w:val="24"/>
                <w:szCs w:val="24"/>
              </w:rPr>
              <w:t>5</w:t>
            </w:r>
          </w:p>
        </w:tc>
        <w:tc>
          <w:tcPr>
            <w:tcW w:w="506" w:type="dxa"/>
            <w:shd w:val="clear" w:color="000000" w:fill="FFFFFF"/>
            <w:vAlign w:val="center"/>
          </w:tcPr>
          <w:p w:rsidR="009208BF" w:rsidRPr="00132A19" w:rsidRDefault="009208BF">
            <w:pPr>
              <w:jc w:val="center"/>
              <w:rPr>
                <w:rFonts w:ascii="Times New Roman" w:hAnsi="Times New Roman"/>
                <w:b/>
                <w:bCs/>
                <w:sz w:val="24"/>
                <w:szCs w:val="24"/>
              </w:rPr>
            </w:pPr>
            <w:r>
              <w:rPr>
                <w:rFonts w:ascii="Times New Roman" w:hAnsi="Times New Roman"/>
                <w:b/>
                <w:bCs/>
                <w:sz w:val="24"/>
                <w:szCs w:val="24"/>
              </w:rPr>
              <w:t>21</w:t>
            </w:r>
          </w:p>
        </w:tc>
        <w:tc>
          <w:tcPr>
            <w:tcW w:w="990" w:type="dxa"/>
            <w:shd w:val="clear" w:color="000000" w:fill="FFFFFF"/>
            <w:vAlign w:val="center"/>
          </w:tcPr>
          <w:p w:rsidR="009208BF" w:rsidRPr="00132A19" w:rsidRDefault="009208BF">
            <w:pPr>
              <w:jc w:val="center"/>
              <w:rPr>
                <w:rFonts w:ascii="Times New Roman" w:hAnsi="Times New Roman"/>
                <w:b/>
                <w:bCs/>
                <w:sz w:val="24"/>
                <w:szCs w:val="24"/>
              </w:rPr>
            </w:pPr>
            <w:r>
              <w:rPr>
                <w:rFonts w:ascii="Times New Roman" w:hAnsi="Times New Roman"/>
                <w:b/>
                <w:bCs/>
                <w:sz w:val="24"/>
                <w:szCs w:val="24"/>
              </w:rPr>
              <w:t>80.76</w:t>
            </w:r>
            <w:r w:rsidRPr="00132A19">
              <w:rPr>
                <w:rFonts w:ascii="Times New Roman" w:hAnsi="Times New Roman"/>
                <w:b/>
                <w:bCs/>
                <w:sz w:val="24"/>
                <w:szCs w:val="24"/>
              </w:rPr>
              <w:t>%</w:t>
            </w:r>
          </w:p>
        </w:tc>
        <w:tc>
          <w:tcPr>
            <w:tcW w:w="567" w:type="dxa"/>
            <w:shd w:val="clear" w:color="000000" w:fill="FFFFFF"/>
            <w:vAlign w:val="center"/>
          </w:tcPr>
          <w:p w:rsidR="009208BF" w:rsidRPr="00132A19" w:rsidRDefault="009208BF" w:rsidP="006D44AE">
            <w:pPr>
              <w:jc w:val="center"/>
              <w:rPr>
                <w:rFonts w:ascii="Times New Roman" w:hAnsi="Times New Roman"/>
                <w:b/>
                <w:bCs/>
                <w:sz w:val="24"/>
                <w:szCs w:val="24"/>
              </w:rPr>
            </w:pPr>
            <w:r>
              <w:rPr>
                <w:rFonts w:ascii="Times New Roman" w:hAnsi="Times New Roman"/>
                <w:b/>
                <w:bCs/>
                <w:sz w:val="24"/>
                <w:szCs w:val="24"/>
              </w:rPr>
              <w:t>21</w:t>
            </w:r>
          </w:p>
        </w:tc>
        <w:tc>
          <w:tcPr>
            <w:tcW w:w="727" w:type="dxa"/>
            <w:shd w:val="clear" w:color="000000" w:fill="FFFFFF"/>
            <w:vAlign w:val="center"/>
          </w:tcPr>
          <w:p w:rsidR="009208BF" w:rsidRPr="00132A19" w:rsidRDefault="009208BF" w:rsidP="006D44AE">
            <w:pPr>
              <w:jc w:val="center"/>
              <w:rPr>
                <w:rFonts w:ascii="Times New Roman" w:hAnsi="Times New Roman"/>
                <w:b/>
                <w:bCs/>
                <w:sz w:val="24"/>
                <w:szCs w:val="24"/>
              </w:rPr>
            </w:pPr>
            <w:r>
              <w:rPr>
                <w:rFonts w:ascii="Times New Roman" w:hAnsi="Times New Roman"/>
                <w:b/>
                <w:bCs/>
                <w:sz w:val="24"/>
                <w:szCs w:val="24"/>
              </w:rPr>
              <w:t>20</w:t>
            </w:r>
          </w:p>
        </w:tc>
        <w:tc>
          <w:tcPr>
            <w:tcW w:w="775" w:type="dxa"/>
            <w:shd w:val="clear" w:color="000000" w:fill="FFFFFF"/>
            <w:vAlign w:val="center"/>
          </w:tcPr>
          <w:p w:rsidR="009208BF" w:rsidRPr="00132A19" w:rsidRDefault="009208BF">
            <w:pPr>
              <w:jc w:val="center"/>
              <w:rPr>
                <w:rFonts w:ascii="Times New Roman" w:hAnsi="Times New Roman"/>
                <w:b/>
                <w:bCs/>
                <w:sz w:val="24"/>
                <w:szCs w:val="24"/>
              </w:rPr>
            </w:pPr>
            <w:r>
              <w:rPr>
                <w:rFonts w:ascii="Times New Roman" w:hAnsi="Times New Roman"/>
                <w:b/>
                <w:bCs/>
                <w:sz w:val="24"/>
                <w:szCs w:val="24"/>
              </w:rPr>
              <w:t>1</w:t>
            </w:r>
          </w:p>
        </w:tc>
        <w:tc>
          <w:tcPr>
            <w:tcW w:w="921" w:type="dxa"/>
            <w:shd w:val="clear" w:color="000000" w:fill="FFFFFF"/>
            <w:vAlign w:val="center"/>
          </w:tcPr>
          <w:p w:rsidR="009208BF" w:rsidRPr="00132A19" w:rsidRDefault="009208BF">
            <w:pPr>
              <w:jc w:val="center"/>
              <w:rPr>
                <w:rFonts w:ascii="Times New Roman" w:hAnsi="Times New Roman"/>
                <w:b/>
                <w:bCs/>
                <w:sz w:val="24"/>
                <w:szCs w:val="24"/>
              </w:rPr>
            </w:pPr>
            <w:r w:rsidRPr="00132A19">
              <w:rPr>
                <w:rFonts w:ascii="Times New Roman" w:hAnsi="Times New Roman"/>
                <w:b/>
                <w:bCs/>
                <w:sz w:val="24"/>
                <w:szCs w:val="24"/>
              </w:rPr>
              <w:t>0</w:t>
            </w:r>
          </w:p>
        </w:tc>
      </w:tr>
    </w:tbl>
    <w:p w:rsidR="009208BF" w:rsidRDefault="009208BF">
      <w:pPr>
        <w:snapToGrid w:val="0"/>
        <w:spacing w:line="360" w:lineRule="auto"/>
        <w:ind w:firstLineChars="221" w:firstLine="464"/>
        <w:jc w:val="left"/>
        <w:rPr>
          <w:rFonts w:ascii="Times New Roman" w:hAnsi="Times New Roman"/>
        </w:rPr>
      </w:pPr>
    </w:p>
    <w:p w:rsidR="009208BF" w:rsidRDefault="009208BF">
      <w:pPr>
        <w:snapToGrid w:val="0"/>
        <w:spacing w:line="360" w:lineRule="auto"/>
        <w:ind w:firstLineChars="221" w:firstLine="710"/>
        <w:jc w:val="left"/>
        <w:rPr>
          <w:rFonts w:ascii="楷体" w:eastAsia="楷体" w:hAnsi="楷体"/>
          <w:b/>
          <w:sz w:val="32"/>
          <w:szCs w:val="32"/>
        </w:rPr>
      </w:pPr>
    </w:p>
    <w:p w:rsidR="009208BF" w:rsidRDefault="009208BF">
      <w:pPr>
        <w:snapToGrid w:val="0"/>
        <w:spacing w:line="360" w:lineRule="auto"/>
        <w:ind w:firstLineChars="221" w:firstLine="710"/>
        <w:jc w:val="left"/>
        <w:rPr>
          <w:rFonts w:ascii="楷体" w:eastAsia="楷体" w:hAnsi="楷体"/>
          <w:b/>
          <w:sz w:val="32"/>
          <w:szCs w:val="32"/>
        </w:rPr>
      </w:pP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（七）法官办案情况</w:t>
      </w:r>
    </w:p>
    <w:p w:rsidR="009208BF" w:rsidRDefault="009208BF">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1-9</w:t>
      </w:r>
      <w:r>
        <w:rPr>
          <w:rFonts w:ascii="仿宋" w:eastAsia="仿宋" w:hAnsi="仿宋" w:cs="宋体" w:hint="eastAsia"/>
          <w:sz w:val="32"/>
          <w:szCs w:val="32"/>
        </w:rPr>
        <w:t>月份</w:t>
      </w:r>
      <w:r>
        <w:rPr>
          <w:rFonts w:ascii="仿宋" w:eastAsia="仿宋" w:hAnsi="仿宋" w:hint="eastAsia"/>
          <w:sz w:val="32"/>
          <w:szCs w:val="32"/>
        </w:rPr>
        <w:t>本院员额法官人均受案</w:t>
      </w:r>
      <w:r>
        <w:rPr>
          <w:rFonts w:ascii="仿宋" w:eastAsia="仿宋" w:hAnsi="仿宋"/>
          <w:sz w:val="32"/>
          <w:szCs w:val="32"/>
        </w:rPr>
        <w:t>6.57</w:t>
      </w:r>
      <w:r>
        <w:rPr>
          <w:rFonts w:ascii="仿宋" w:eastAsia="仿宋" w:hAnsi="仿宋" w:hint="eastAsia"/>
          <w:sz w:val="32"/>
          <w:szCs w:val="32"/>
        </w:rPr>
        <w:t>件，人均结案</w:t>
      </w:r>
      <w:r>
        <w:rPr>
          <w:rFonts w:ascii="仿宋" w:eastAsia="仿宋" w:hAnsi="仿宋"/>
          <w:sz w:val="32"/>
          <w:szCs w:val="32"/>
        </w:rPr>
        <w:t>3.71</w:t>
      </w:r>
      <w:r>
        <w:rPr>
          <w:rFonts w:ascii="仿宋" w:eastAsia="仿宋" w:hAnsi="仿宋" w:hint="eastAsia"/>
          <w:sz w:val="32"/>
          <w:szCs w:val="32"/>
        </w:rPr>
        <w:t>件，本院具有审判职称的共</w:t>
      </w:r>
      <w:r>
        <w:rPr>
          <w:rFonts w:ascii="仿宋" w:eastAsia="仿宋" w:hAnsi="仿宋"/>
          <w:sz w:val="32"/>
          <w:szCs w:val="32"/>
        </w:rPr>
        <w:t>3</w:t>
      </w:r>
      <w:r>
        <w:rPr>
          <w:rFonts w:ascii="仿宋" w:eastAsia="仿宋" w:hAnsi="仿宋" w:hint="eastAsia"/>
          <w:sz w:val="32"/>
          <w:szCs w:val="32"/>
        </w:rPr>
        <w:t>位领导受案</w:t>
      </w:r>
      <w:r>
        <w:rPr>
          <w:rFonts w:ascii="仿宋" w:eastAsia="仿宋" w:hAnsi="仿宋"/>
          <w:sz w:val="32"/>
          <w:szCs w:val="32"/>
        </w:rPr>
        <w:t>9</w:t>
      </w:r>
      <w:r>
        <w:rPr>
          <w:rFonts w:ascii="仿宋" w:eastAsia="仿宋" w:hAnsi="仿宋" w:hint="eastAsia"/>
          <w:sz w:val="32"/>
          <w:szCs w:val="32"/>
        </w:rPr>
        <w:t>件，人均受案</w:t>
      </w:r>
      <w:r>
        <w:rPr>
          <w:rFonts w:ascii="仿宋" w:eastAsia="仿宋" w:hAnsi="仿宋"/>
          <w:sz w:val="32"/>
          <w:szCs w:val="32"/>
        </w:rPr>
        <w:t>3</w:t>
      </w:r>
      <w:r>
        <w:rPr>
          <w:rFonts w:ascii="仿宋" w:eastAsia="仿宋" w:hAnsi="仿宋" w:hint="eastAsia"/>
          <w:sz w:val="32"/>
          <w:szCs w:val="32"/>
        </w:rPr>
        <w:t>件，结案</w:t>
      </w:r>
      <w:r>
        <w:rPr>
          <w:rFonts w:ascii="仿宋" w:eastAsia="仿宋" w:hAnsi="仿宋"/>
          <w:sz w:val="32"/>
          <w:szCs w:val="32"/>
        </w:rPr>
        <w:t>6</w:t>
      </w:r>
      <w:r>
        <w:rPr>
          <w:rFonts w:ascii="仿宋" w:eastAsia="仿宋" w:hAnsi="仿宋" w:hint="eastAsia"/>
          <w:sz w:val="32"/>
          <w:szCs w:val="32"/>
        </w:rPr>
        <w:t>件，人均结案</w:t>
      </w:r>
      <w:r>
        <w:rPr>
          <w:rFonts w:ascii="仿宋" w:eastAsia="仿宋" w:hAnsi="仿宋"/>
          <w:sz w:val="32"/>
          <w:szCs w:val="32"/>
        </w:rPr>
        <w:t>2</w:t>
      </w:r>
      <w:r>
        <w:rPr>
          <w:rFonts w:ascii="仿宋" w:eastAsia="仿宋" w:hAnsi="仿宋" w:hint="eastAsia"/>
          <w:sz w:val="32"/>
          <w:szCs w:val="32"/>
        </w:rPr>
        <w:t>件。</w:t>
      </w:r>
    </w:p>
    <w:p w:rsidR="009208BF" w:rsidRDefault="009208BF">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（八）电子法院应用情况</w:t>
      </w:r>
    </w:p>
    <w:p w:rsidR="009208BF" w:rsidRPr="00417429" w:rsidRDefault="009208BF" w:rsidP="00417429">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1-9</w:t>
      </w:r>
      <w:r>
        <w:rPr>
          <w:rFonts w:ascii="仿宋" w:eastAsia="仿宋" w:hAnsi="仿宋" w:cs="宋体" w:hint="eastAsia"/>
          <w:sz w:val="32"/>
          <w:szCs w:val="32"/>
        </w:rPr>
        <w:t>月我院电子法院网上立案</w:t>
      </w:r>
      <w:r>
        <w:rPr>
          <w:rFonts w:ascii="仿宋" w:eastAsia="仿宋" w:hAnsi="仿宋"/>
          <w:sz w:val="32"/>
          <w:szCs w:val="32"/>
        </w:rPr>
        <w:t>46</w:t>
      </w:r>
      <w:r>
        <w:rPr>
          <w:rFonts w:ascii="仿宋" w:eastAsia="仿宋" w:hAnsi="仿宋" w:cs="宋体" w:hint="eastAsia"/>
          <w:sz w:val="32"/>
          <w:szCs w:val="32"/>
        </w:rPr>
        <w:t>件，网上缴费</w:t>
      </w:r>
      <w:r>
        <w:rPr>
          <w:rFonts w:ascii="仿宋" w:eastAsia="仿宋" w:hAnsi="仿宋"/>
          <w:sz w:val="32"/>
          <w:szCs w:val="32"/>
        </w:rPr>
        <w:t>0</w:t>
      </w:r>
      <w:r>
        <w:rPr>
          <w:rFonts w:ascii="仿宋" w:eastAsia="仿宋" w:hAnsi="仿宋" w:cs="宋体" w:hint="eastAsia"/>
          <w:sz w:val="32"/>
          <w:szCs w:val="32"/>
        </w:rPr>
        <w:t>件，电子送达</w:t>
      </w:r>
      <w:r>
        <w:rPr>
          <w:rFonts w:ascii="仿宋" w:eastAsia="仿宋" w:hAnsi="仿宋"/>
          <w:sz w:val="32"/>
          <w:szCs w:val="32"/>
        </w:rPr>
        <w:t>0</w:t>
      </w:r>
      <w:r>
        <w:rPr>
          <w:rFonts w:ascii="仿宋" w:eastAsia="仿宋" w:hAnsi="仿宋" w:cs="宋体" w:hint="eastAsia"/>
          <w:sz w:val="32"/>
          <w:szCs w:val="32"/>
        </w:rPr>
        <w:t>件，网上阅卷</w:t>
      </w:r>
      <w:r>
        <w:rPr>
          <w:rFonts w:ascii="仿宋" w:eastAsia="仿宋" w:hAnsi="仿宋"/>
          <w:sz w:val="32"/>
          <w:szCs w:val="32"/>
        </w:rPr>
        <w:t>0</w:t>
      </w:r>
      <w:r>
        <w:rPr>
          <w:rFonts w:ascii="仿宋" w:eastAsia="仿宋" w:hAnsi="仿宋" w:cs="宋体" w:hint="eastAsia"/>
          <w:sz w:val="32"/>
          <w:szCs w:val="32"/>
        </w:rPr>
        <w:t>件，云会议</w:t>
      </w:r>
      <w:r>
        <w:rPr>
          <w:rFonts w:ascii="仿宋" w:eastAsia="仿宋" w:hAnsi="仿宋"/>
          <w:sz w:val="32"/>
          <w:szCs w:val="32"/>
        </w:rPr>
        <w:t>0</w:t>
      </w:r>
      <w:r>
        <w:rPr>
          <w:rFonts w:ascii="仿宋" w:eastAsia="仿宋" w:hAnsi="仿宋" w:cs="宋体" w:hint="eastAsia"/>
          <w:sz w:val="32"/>
          <w:szCs w:val="32"/>
        </w:rPr>
        <w:t>件，证据交换</w:t>
      </w:r>
      <w:r>
        <w:rPr>
          <w:rFonts w:ascii="仿宋" w:eastAsia="仿宋" w:hAnsi="仿宋"/>
          <w:sz w:val="32"/>
          <w:szCs w:val="32"/>
        </w:rPr>
        <w:t>0</w:t>
      </w:r>
      <w:r>
        <w:rPr>
          <w:rFonts w:ascii="仿宋" w:eastAsia="仿宋" w:hAnsi="仿宋" w:cs="宋体" w:hint="eastAsia"/>
          <w:sz w:val="32"/>
          <w:szCs w:val="32"/>
        </w:rPr>
        <w:t>件，审诉辩</w:t>
      </w:r>
      <w:r>
        <w:rPr>
          <w:rFonts w:ascii="仿宋" w:eastAsia="仿宋" w:hAnsi="仿宋"/>
          <w:sz w:val="32"/>
          <w:szCs w:val="32"/>
        </w:rPr>
        <w:t>0</w:t>
      </w:r>
      <w:r>
        <w:rPr>
          <w:rFonts w:ascii="仿宋" w:eastAsia="仿宋" w:hAnsi="仿宋" w:cs="宋体" w:hint="eastAsia"/>
          <w:sz w:val="32"/>
          <w:szCs w:val="32"/>
        </w:rPr>
        <w:t>件。</w:t>
      </w:r>
    </w:p>
    <w:sectPr w:rsidR="009208BF" w:rsidRPr="00417429" w:rsidSect="004D18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BF" w:rsidRDefault="009208BF" w:rsidP="004D1811">
      <w:pPr>
        <w:spacing w:line="240" w:lineRule="auto"/>
      </w:pPr>
      <w:r>
        <w:separator/>
      </w:r>
    </w:p>
  </w:endnote>
  <w:endnote w:type="continuationSeparator" w:id="0">
    <w:p w:rsidR="009208BF" w:rsidRDefault="009208BF" w:rsidP="004D1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filled="f" stroked="f">
          <v:textbox style="mso-fit-shape-to-text:t" inset="0,0,0,0">
            <w:txbxContent>
              <w:p w:rsidR="009208BF" w:rsidRDefault="009208BF">
                <w:pPr>
                  <w:snapToGrid w:val="0"/>
                  <w:rPr>
                    <w:sz w:val="18"/>
                  </w:rPr>
                </w:pPr>
                <w:fldSimple w:instr=" PAGE  \* MERGEFORMAT ">
                  <w:r w:rsidRPr="007657DA">
                    <w:rPr>
                      <w:noProof/>
                      <w:sz w:val="18"/>
                    </w:rPr>
                    <w:t>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BF" w:rsidRDefault="009208BF" w:rsidP="004D1811">
      <w:pPr>
        <w:spacing w:line="240" w:lineRule="auto"/>
      </w:pPr>
      <w:r>
        <w:separator/>
      </w:r>
    </w:p>
  </w:footnote>
  <w:footnote w:type="continuationSeparator" w:id="0">
    <w:p w:rsidR="009208BF" w:rsidRDefault="009208BF" w:rsidP="004D1811">
      <w:pPr>
        <w:spacing w:line="240" w:lineRule="auto"/>
      </w:pPr>
      <w:r>
        <w:continuationSeparator/>
      </w:r>
    </w:p>
  </w:footnote>
  <w:footnote w:id="1">
    <w:p w:rsidR="009208BF" w:rsidRDefault="009208BF">
      <w:pPr>
        <w:pStyle w:val="FootnoteText"/>
      </w:pPr>
      <w:r>
        <w:rPr>
          <w:rStyle w:val="FootnoteReference"/>
          <w:szCs w:val="18"/>
        </w:rPr>
        <w:footnoteRef/>
      </w:r>
      <w:r>
        <w:rPr>
          <w:szCs w:val="18"/>
        </w:rPr>
        <w:t xml:space="preserve"> </w:t>
      </w:r>
      <w:r>
        <w:rPr>
          <w:szCs w:val="18"/>
        </w:rPr>
        <w:t>受理</w:t>
      </w:r>
      <w:r>
        <w:rPr>
          <w:szCs w:val="18"/>
        </w:rPr>
        <w:t>=</w:t>
      </w:r>
      <w:r>
        <w:rPr>
          <w:szCs w:val="18"/>
        </w:rPr>
        <w:t>旧存</w:t>
      </w:r>
      <w:r>
        <w:rPr>
          <w:szCs w:val="18"/>
        </w:rPr>
        <w:t>+</w:t>
      </w:r>
      <w:r>
        <w:rPr>
          <w:szCs w:val="18"/>
        </w:rPr>
        <w:t>新收。</w:t>
      </w:r>
    </w:p>
  </w:footnote>
  <w:footnote w:id="2">
    <w:p w:rsidR="009208BF" w:rsidRDefault="009208BF">
      <w:pPr>
        <w:pStyle w:val="FootnoteText"/>
      </w:pPr>
      <w:r>
        <w:rPr>
          <w:rStyle w:val="FootnoteReference"/>
          <w:szCs w:val="18"/>
        </w:rPr>
        <w:footnoteRef/>
      </w:r>
      <w:r>
        <w:rPr>
          <w:szCs w:val="18"/>
        </w:rPr>
        <w:t xml:space="preserve"> </w:t>
      </w:r>
      <w:r>
        <w:rPr>
          <w:szCs w:val="18"/>
        </w:rPr>
        <w:t>为数字法院应用业务系统及执行新系统数据，统计区间</w:t>
      </w:r>
      <w:smartTag w:uri="urn:schemas-microsoft-com:office:smarttags" w:element="chsdate">
        <w:smartTagPr>
          <w:attr w:name="Year" w:val="2017"/>
          <w:attr w:name="Month" w:val="1"/>
          <w:attr w:name="Day" w:val="1"/>
          <w:attr w:name="IsLunarDate" w:val="False"/>
          <w:attr w:name="IsROCDate" w:val="False"/>
        </w:smartTagPr>
        <w:r>
          <w:rPr>
            <w:szCs w:val="18"/>
          </w:rPr>
          <w:t>201</w:t>
        </w:r>
        <w:r>
          <w:rPr>
            <w:rFonts w:ascii="宋体" w:eastAsia="宋体"/>
            <w:szCs w:val="18"/>
          </w:rPr>
          <w:t>7</w:t>
        </w:r>
        <w:r>
          <w:rPr>
            <w:szCs w:val="18"/>
          </w:rPr>
          <w:t>年</w:t>
        </w:r>
        <w:r>
          <w:rPr>
            <w:szCs w:val="18"/>
          </w:rPr>
          <w:t>1</w:t>
        </w:r>
        <w:r>
          <w:rPr>
            <w:szCs w:val="18"/>
          </w:rPr>
          <w:t>月</w:t>
        </w:r>
        <w:r>
          <w:rPr>
            <w:szCs w:val="18"/>
          </w:rPr>
          <w:t>1</w:t>
        </w:r>
        <w:r>
          <w:rPr>
            <w:szCs w:val="18"/>
          </w:rPr>
          <w:t>日</w:t>
        </w:r>
      </w:smartTag>
      <w:r>
        <w:rPr>
          <w:szCs w:val="18"/>
        </w:rPr>
        <w:t>至</w:t>
      </w:r>
      <w:r>
        <w:rPr>
          <w:szCs w:val="18"/>
        </w:rPr>
        <w:t>201</w:t>
      </w:r>
      <w:r>
        <w:rPr>
          <w:rFonts w:ascii="宋体" w:eastAsia="宋体"/>
          <w:szCs w:val="18"/>
        </w:rPr>
        <w:t>7</w:t>
      </w:r>
      <w:r>
        <w:rPr>
          <w:szCs w:val="18"/>
        </w:rPr>
        <w:t>年</w:t>
      </w:r>
      <w:r>
        <w:rPr>
          <w:rFonts w:eastAsia="宋体"/>
          <w:szCs w:val="18"/>
        </w:rPr>
        <w:t>9</w:t>
      </w:r>
      <w:r>
        <w:rPr>
          <w:szCs w:val="18"/>
        </w:rPr>
        <w:t>月</w:t>
      </w:r>
      <w:r>
        <w:rPr>
          <w:rFonts w:eastAsia="宋体"/>
          <w:szCs w:val="18"/>
        </w:rPr>
        <w:t>30</w:t>
      </w:r>
      <w:r>
        <w:rPr>
          <w:szCs w:val="18"/>
        </w:rPr>
        <w:t>日，数据提取时间为</w:t>
      </w:r>
      <w:r>
        <w:rPr>
          <w:szCs w:val="18"/>
        </w:rPr>
        <w:t>2017</w:t>
      </w:r>
      <w:r>
        <w:rPr>
          <w:szCs w:val="18"/>
        </w:rPr>
        <w:t>年</w:t>
      </w:r>
      <w:r>
        <w:rPr>
          <w:rFonts w:ascii="宋体" w:eastAsia="宋体"/>
          <w:szCs w:val="18"/>
        </w:rPr>
        <w:t>9</w:t>
      </w:r>
      <w:r>
        <w:rPr>
          <w:szCs w:val="18"/>
        </w:rPr>
        <w:t>月</w:t>
      </w:r>
      <w:r>
        <w:rPr>
          <w:rFonts w:eastAsia="宋体"/>
          <w:szCs w:val="18"/>
        </w:rPr>
        <w:t>30</w:t>
      </w:r>
      <w:r>
        <w:rPr>
          <w:szCs w:val="18"/>
        </w:rPr>
        <w:t>日。本文数据按照四舍五入法</w:t>
      </w:r>
      <w:r>
        <w:rPr>
          <w:szCs w:val="18"/>
        </w:rPr>
        <w:t>,</w:t>
      </w:r>
      <w:r>
        <w:rPr>
          <w:szCs w:val="18"/>
        </w:rPr>
        <w:t>保留到小数点后面两位数</w:t>
      </w:r>
      <w:r>
        <w:rPr>
          <w:szCs w:val="18"/>
        </w:rPr>
        <w:t>,</w:t>
      </w:r>
      <w:r>
        <w:rPr>
          <w:szCs w:val="18"/>
        </w:rPr>
        <w:t>尾数为</w:t>
      </w:r>
      <w:r>
        <w:rPr>
          <w:szCs w:val="18"/>
        </w:rPr>
        <w:t>0</w:t>
      </w:r>
      <w:r>
        <w:rPr>
          <w:szCs w:val="18"/>
        </w:rPr>
        <w:t>的去掉</w:t>
      </w:r>
      <w:r>
        <w:rPr>
          <w:szCs w:val="18"/>
        </w:rPr>
        <w:t>,</w:t>
      </w:r>
      <w:r>
        <w:rPr>
          <w:szCs w:val="18"/>
        </w:rPr>
        <w:t>如</w:t>
      </w:r>
      <w:r>
        <w:rPr>
          <w:szCs w:val="18"/>
        </w:rPr>
        <w:t>11.00</w:t>
      </w:r>
      <w:r>
        <w:rPr>
          <w:szCs w:val="18"/>
        </w:rPr>
        <w:t>为</w:t>
      </w:r>
      <w:r>
        <w:rPr>
          <w:szCs w:val="18"/>
        </w:rPr>
        <w:t>11</w:t>
      </w:r>
      <w:r>
        <w:rPr>
          <w:szCs w:val="18"/>
        </w:rPr>
        <w:t>、</w:t>
      </w:r>
      <w:r>
        <w:rPr>
          <w:szCs w:val="18"/>
        </w:rPr>
        <w:t>11.10</w:t>
      </w:r>
      <w:r>
        <w:rPr>
          <w:szCs w:val="18"/>
        </w:rPr>
        <w:t>为</w:t>
      </w:r>
      <w:r>
        <w:rPr>
          <w:szCs w:val="18"/>
        </w:rPr>
        <w:t>11.1</w:t>
      </w:r>
      <w:r>
        <w:rPr>
          <w:szCs w:val="18"/>
        </w:rPr>
        <w:t>。</w:t>
      </w:r>
    </w:p>
  </w:footnote>
  <w:footnote w:id="3">
    <w:p w:rsidR="009208BF" w:rsidRDefault="009208BF">
      <w:pPr>
        <w:pStyle w:val="FootnoteText"/>
      </w:pPr>
      <w:r>
        <w:rPr>
          <w:rStyle w:val="FootnoteReference"/>
        </w:rPr>
        <w:footnoteRef/>
      </w:r>
      <w:r>
        <w:t xml:space="preserve"> </w:t>
      </w:r>
      <w:r>
        <w:t>数据来源数字法院业务应用系统。</w:t>
      </w:r>
    </w:p>
  </w:footnote>
  <w:footnote w:id="4">
    <w:p w:rsidR="009208BF" w:rsidRDefault="009208BF">
      <w:pPr>
        <w:pStyle w:val="FootnoteText"/>
      </w:pPr>
      <w:r>
        <w:rPr>
          <w:rStyle w:val="FootnoteReference"/>
        </w:rPr>
        <w:footnoteRef/>
      </w:r>
      <w:r>
        <w:t xml:space="preserve"> </w:t>
      </w:r>
      <w:r>
        <w:rPr>
          <w:rFonts w:eastAsia="宋体" w:hint="eastAsia"/>
        </w:rPr>
        <w:t>其中</w:t>
      </w:r>
      <w:r>
        <w:rPr>
          <w:rFonts w:eastAsia="宋体"/>
        </w:rPr>
        <w:t>1</w:t>
      </w:r>
      <w:r>
        <w:rPr>
          <w:rFonts w:eastAsia="宋体" w:hint="eastAsia"/>
        </w:rPr>
        <w:t>件为管辖权异议上诉案件</w:t>
      </w:r>
    </w:p>
  </w:footnote>
  <w:footnote w:id="5">
    <w:p w:rsidR="009208BF" w:rsidRDefault="009208BF">
      <w:pPr>
        <w:pStyle w:val="FootnoteText"/>
      </w:pPr>
      <w:r>
        <w:rPr>
          <w:rStyle w:val="FootnoteReference"/>
          <w:szCs w:val="18"/>
        </w:rPr>
        <w:footnoteRef/>
      </w:r>
      <w:r>
        <w:rPr>
          <w:szCs w:val="18"/>
        </w:rPr>
        <w:t>一审服判息诉率</w:t>
      </w:r>
      <w:r>
        <w:rPr>
          <w:szCs w:val="18"/>
        </w:rPr>
        <w:t>=1-</w:t>
      </w:r>
      <w:r>
        <w:rPr>
          <w:szCs w:val="18"/>
        </w:rPr>
        <w:t>（上诉案件数</w:t>
      </w:r>
      <w:r>
        <w:rPr>
          <w:szCs w:val="18"/>
        </w:rPr>
        <w:t>∕</w:t>
      </w:r>
      <w:r>
        <w:rPr>
          <w:szCs w:val="18"/>
        </w:rPr>
        <w:t>一审结案数）</w:t>
      </w:r>
    </w:p>
  </w:footnote>
  <w:footnote w:id="6">
    <w:p w:rsidR="009208BF" w:rsidRDefault="009208BF">
      <w:pPr>
        <w:pStyle w:val="FootnoteText"/>
      </w:pPr>
      <w:r>
        <w:rPr>
          <w:rStyle w:val="FootnoteReference"/>
          <w:szCs w:val="18"/>
        </w:rPr>
        <w:footnoteRef/>
      </w:r>
      <w:r>
        <w:rPr>
          <w:szCs w:val="18"/>
        </w:rPr>
        <w:t>数据来源于中国裁判文书网。</w:t>
      </w:r>
    </w:p>
  </w:footnote>
  <w:footnote w:id="7">
    <w:p w:rsidR="009208BF" w:rsidRDefault="009208BF">
      <w:pPr>
        <w:pStyle w:val="FootnoteText"/>
      </w:pPr>
      <w:r>
        <w:rPr>
          <w:rStyle w:val="FootnoteReference"/>
          <w:szCs w:val="18"/>
        </w:rPr>
        <w:footnoteRef/>
      </w:r>
      <w:r>
        <w:rPr>
          <w:szCs w:val="18"/>
        </w:rPr>
        <w:t xml:space="preserve"> </w:t>
      </w:r>
      <w:r>
        <w:rPr>
          <w:szCs w:val="18"/>
        </w:rPr>
        <w:t>上网率计算方式：</w:t>
      </w:r>
      <w:r>
        <w:rPr>
          <w:szCs w:val="18"/>
        </w:rPr>
        <w:t>(</w:t>
      </w:r>
      <w:r>
        <w:rPr>
          <w:szCs w:val="18"/>
        </w:rPr>
        <w:t>中国裁判文书网上统计的上网数（重复上网文书不计算在内）</w:t>
      </w:r>
      <w:r>
        <w:rPr>
          <w:szCs w:val="18"/>
        </w:rPr>
        <w:t>+</w:t>
      </w:r>
      <w:r>
        <w:rPr>
          <w:szCs w:val="18"/>
        </w:rPr>
        <w:t>民事调解数）</w:t>
      </w:r>
      <w:r>
        <w:rPr>
          <w:rFonts w:ascii="Calibri" w:hAnsi="Calibri"/>
          <w:szCs w:val="18"/>
        </w:rPr>
        <w:t>/</w:t>
      </w:r>
      <w:r>
        <w:rPr>
          <w:rFonts w:ascii="宋体" w:eastAsia="宋体" w:cs="宋体" w:hint="eastAsia"/>
          <w:szCs w:val="18"/>
        </w:rPr>
        <w:t>结案数</w:t>
      </w:r>
    </w:p>
  </w:footnote>
  <w:footnote w:id="8">
    <w:p w:rsidR="009208BF" w:rsidRDefault="009208BF">
      <w:pPr>
        <w:pStyle w:val="FootnoteText"/>
      </w:pPr>
      <w:r>
        <w:rPr>
          <w:rStyle w:val="FootnoteReference"/>
        </w:rPr>
        <w:footnoteRef/>
      </w:r>
      <w:r>
        <w:t xml:space="preserve"> </w:t>
      </w:r>
      <w:r>
        <w:rPr>
          <w:rFonts w:eastAsia="宋体" w:hint="eastAsia"/>
        </w:rPr>
        <w:t>结果为</w:t>
      </w:r>
      <w:r>
        <w:rPr>
          <w:szCs w:val="18"/>
        </w:rPr>
        <w:t>数字法院应用业务系统</w:t>
      </w:r>
      <w:r>
        <w:rPr>
          <w:rFonts w:eastAsia="宋体" w:hint="eastAsia"/>
          <w:szCs w:val="18"/>
        </w:rPr>
        <w:t>中的案件统计数据与执行新系统中的数据相加所得。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rsidP="007657D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BF" w:rsidRDefault="00920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AF"/>
    <w:rsid w:val="00014718"/>
    <w:rsid w:val="00017FF1"/>
    <w:rsid w:val="0003309E"/>
    <w:rsid w:val="00045D61"/>
    <w:rsid w:val="00055A0A"/>
    <w:rsid w:val="000D3F55"/>
    <w:rsid w:val="000D7936"/>
    <w:rsid w:val="000F6779"/>
    <w:rsid w:val="00112C13"/>
    <w:rsid w:val="00115697"/>
    <w:rsid w:val="001207B1"/>
    <w:rsid w:val="00132A19"/>
    <w:rsid w:val="00132D4C"/>
    <w:rsid w:val="0014274B"/>
    <w:rsid w:val="00143BD5"/>
    <w:rsid w:val="00162BEC"/>
    <w:rsid w:val="00163134"/>
    <w:rsid w:val="001639F0"/>
    <w:rsid w:val="0017283A"/>
    <w:rsid w:val="001C6E74"/>
    <w:rsid w:val="001E1692"/>
    <w:rsid w:val="001E35D2"/>
    <w:rsid w:val="001F10D3"/>
    <w:rsid w:val="001F440A"/>
    <w:rsid w:val="002145DF"/>
    <w:rsid w:val="00250979"/>
    <w:rsid w:val="002967E0"/>
    <w:rsid w:val="002C2CDC"/>
    <w:rsid w:val="002D0362"/>
    <w:rsid w:val="002E6973"/>
    <w:rsid w:val="00324645"/>
    <w:rsid w:val="00333776"/>
    <w:rsid w:val="00343A0B"/>
    <w:rsid w:val="0036002F"/>
    <w:rsid w:val="003603C6"/>
    <w:rsid w:val="00367F77"/>
    <w:rsid w:val="003712AA"/>
    <w:rsid w:val="00392B35"/>
    <w:rsid w:val="003B1B07"/>
    <w:rsid w:val="003E14D6"/>
    <w:rsid w:val="003E4A9A"/>
    <w:rsid w:val="004070EE"/>
    <w:rsid w:val="00416EDF"/>
    <w:rsid w:val="0041725C"/>
    <w:rsid w:val="00417429"/>
    <w:rsid w:val="004261A0"/>
    <w:rsid w:val="00473390"/>
    <w:rsid w:val="00494069"/>
    <w:rsid w:val="004B7516"/>
    <w:rsid w:val="004D1811"/>
    <w:rsid w:val="005046B3"/>
    <w:rsid w:val="00510616"/>
    <w:rsid w:val="00514F1B"/>
    <w:rsid w:val="005524D6"/>
    <w:rsid w:val="0056650B"/>
    <w:rsid w:val="00577753"/>
    <w:rsid w:val="00597715"/>
    <w:rsid w:val="005C1806"/>
    <w:rsid w:val="005D24AB"/>
    <w:rsid w:val="005E7918"/>
    <w:rsid w:val="005F3616"/>
    <w:rsid w:val="00610AFC"/>
    <w:rsid w:val="00627604"/>
    <w:rsid w:val="00647E6F"/>
    <w:rsid w:val="00654BC6"/>
    <w:rsid w:val="006602C6"/>
    <w:rsid w:val="006701AF"/>
    <w:rsid w:val="00677E29"/>
    <w:rsid w:val="00680200"/>
    <w:rsid w:val="006805F3"/>
    <w:rsid w:val="006A2904"/>
    <w:rsid w:val="006C38FC"/>
    <w:rsid w:val="006D44AE"/>
    <w:rsid w:val="006E0FF9"/>
    <w:rsid w:val="00704FA7"/>
    <w:rsid w:val="0071539E"/>
    <w:rsid w:val="007315A8"/>
    <w:rsid w:val="00740225"/>
    <w:rsid w:val="00740A65"/>
    <w:rsid w:val="007525E2"/>
    <w:rsid w:val="007657DA"/>
    <w:rsid w:val="0078083C"/>
    <w:rsid w:val="007843CA"/>
    <w:rsid w:val="007942C8"/>
    <w:rsid w:val="00797565"/>
    <w:rsid w:val="007D0A69"/>
    <w:rsid w:val="007D3176"/>
    <w:rsid w:val="007E7613"/>
    <w:rsid w:val="00804962"/>
    <w:rsid w:val="00822939"/>
    <w:rsid w:val="00834A34"/>
    <w:rsid w:val="008921CA"/>
    <w:rsid w:val="008A6EDE"/>
    <w:rsid w:val="008A7F97"/>
    <w:rsid w:val="008B4913"/>
    <w:rsid w:val="008D28BB"/>
    <w:rsid w:val="008E5F76"/>
    <w:rsid w:val="008E6855"/>
    <w:rsid w:val="009208BF"/>
    <w:rsid w:val="009213A1"/>
    <w:rsid w:val="009541C4"/>
    <w:rsid w:val="00974023"/>
    <w:rsid w:val="009932A6"/>
    <w:rsid w:val="009A7748"/>
    <w:rsid w:val="00A1259A"/>
    <w:rsid w:val="00A2234F"/>
    <w:rsid w:val="00A457CD"/>
    <w:rsid w:val="00A546BF"/>
    <w:rsid w:val="00A87A24"/>
    <w:rsid w:val="00AB6EFC"/>
    <w:rsid w:val="00AD6106"/>
    <w:rsid w:val="00B20193"/>
    <w:rsid w:val="00B242F1"/>
    <w:rsid w:val="00B47153"/>
    <w:rsid w:val="00B614DD"/>
    <w:rsid w:val="00B62B12"/>
    <w:rsid w:val="00B77617"/>
    <w:rsid w:val="00B90946"/>
    <w:rsid w:val="00BA5010"/>
    <w:rsid w:val="00BE5103"/>
    <w:rsid w:val="00C03CBE"/>
    <w:rsid w:val="00C04561"/>
    <w:rsid w:val="00C152A4"/>
    <w:rsid w:val="00C20C3A"/>
    <w:rsid w:val="00C27254"/>
    <w:rsid w:val="00C60542"/>
    <w:rsid w:val="00C85D2D"/>
    <w:rsid w:val="00CC2378"/>
    <w:rsid w:val="00CC6C0E"/>
    <w:rsid w:val="00CF3A2C"/>
    <w:rsid w:val="00D3216A"/>
    <w:rsid w:val="00D511A1"/>
    <w:rsid w:val="00D6158C"/>
    <w:rsid w:val="00D7660B"/>
    <w:rsid w:val="00D76931"/>
    <w:rsid w:val="00D776AC"/>
    <w:rsid w:val="00D95B6B"/>
    <w:rsid w:val="00DA5D64"/>
    <w:rsid w:val="00DB2C03"/>
    <w:rsid w:val="00DB2DDC"/>
    <w:rsid w:val="00DC44B1"/>
    <w:rsid w:val="00E20B2E"/>
    <w:rsid w:val="00E4350B"/>
    <w:rsid w:val="00E86114"/>
    <w:rsid w:val="00E97907"/>
    <w:rsid w:val="00EA0F81"/>
    <w:rsid w:val="00ED497E"/>
    <w:rsid w:val="00EE1D4E"/>
    <w:rsid w:val="00F16DAA"/>
    <w:rsid w:val="00F60946"/>
    <w:rsid w:val="00F63769"/>
    <w:rsid w:val="00F84072"/>
    <w:rsid w:val="00F93E6F"/>
    <w:rsid w:val="00FB0102"/>
    <w:rsid w:val="00FC4D99"/>
    <w:rsid w:val="00FC72C2"/>
    <w:rsid w:val="00FE262D"/>
    <w:rsid w:val="00FE67D2"/>
    <w:rsid w:val="1384704F"/>
    <w:rsid w:val="213B0D36"/>
    <w:rsid w:val="67EC4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11"/>
    <w:pPr>
      <w:widowControl w:val="0"/>
      <w:spacing w:line="365" w:lineRule="atLeast"/>
      <w:ind w:left="1"/>
      <w:jc w:val="both"/>
      <w:textAlignment w:val="bottom"/>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81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4D1811"/>
    <w:rPr>
      <w:rFonts w:cs="Times New Roman"/>
      <w:kern w:val="0"/>
      <w:sz w:val="18"/>
      <w:szCs w:val="18"/>
    </w:rPr>
  </w:style>
  <w:style w:type="paragraph" w:styleId="Footer">
    <w:name w:val="footer"/>
    <w:basedOn w:val="Normal"/>
    <w:link w:val="FooterChar"/>
    <w:uiPriority w:val="99"/>
    <w:semiHidden/>
    <w:rsid w:val="004D181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4D1811"/>
    <w:rPr>
      <w:rFonts w:cs="Times New Roman"/>
      <w:kern w:val="0"/>
      <w:sz w:val="18"/>
      <w:szCs w:val="18"/>
    </w:rPr>
  </w:style>
  <w:style w:type="paragraph" w:styleId="Header">
    <w:name w:val="header"/>
    <w:basedOn w:val="Normal"/>
    <w:link w:val="HeaderChar"/>
    <w:uiPriority w:val="99"/>
    <w:semiHidden/>
    <w:rsid w:val="004D18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4D1811"/>
    <w:rPr>
      <w:rFonts w:cs="Times New Roman"/>
      <w:kern w:val="0"/>
      <w:sz w:val="18"/>
      <w:szCs w:val="18"/>
    </w:rPr>
  </w:style>
  <w:style w:type="paragraph" w:styleId="FootnoteText">
    <w:name w:val="footnote text"/>
    <w:basedOn w:val="Normal"/>
    <w:link w:val="FootnoteTextChar"/>
    <w:uiPriority w:val="99"/>
    <w:rsid w:val="004D1811"/>
    <w:pPr>
      <w:snapToGrid w:val="0"/>
      <w:spacing w:line="240" w:lineRule="auto"/>
      <w:ind w:left="0"/>
      <w:jc w:val="left"/>
      <w:textAlignment w:val="auto"/>
    </w:pPr>
    <w:rPr>
      <w:rFonts w:ascii="??_GB2312" w:eastAsia="Times New Roman" w:hAnsi="宋体"/>
      <w:kern w:val="2"/>
      <w:sz w:val="18"/>
      <w:szCs w:val="32"/>
    </w:rPr>
  </w:style>
  <w:style w:type="character" w:customStyle="1" w:styleId="FootnoteTextChar">
    <w:name w:val="Footnote Text Char"/>
    <w:basedOn w:val="DefaultParagraphFont"/>
    <w:link w:val="FootnoteText"/>
    <w:uiPriority w:val="99"/>
    <w:locked/>
    <w:rsid w:val="004D1811"/>
    <w:rPr>
      <w:rFonts w:ascii="??_GB2312" w:eastAsia="Times New Roman" w:hAnsi="宋体" w:cs="Times New Roman"/>
      <w:sz w:val="32"/>
      <w:szCs w:val="32"/>
    </w:rPr>
  </w:style>
  <w:style w:type="character" w:styleId="FootnoteReference">
    <w:name w:val="footnote reference"/>
    <w:basedOn w:val="DefaultParagraphFont"/>
    <w:uiPriority w:val="99"/>
    <w:rsid w:val="004D181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7</Pages>
  <Words>428</Words>
  <Characters>2440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白城铁路运输法院</dc:title>
  <dc:subject/>
  <dc:creator>Administrator</dc:creator>
  <cp:keywords/>
  <dc:description/>
  <cp:lastModifiedBy>微软用户</cp:lastModifiedBy>
  <cp:revision>17</cp:revision>
  <cp:lastPrinted>2017-09-08T02:06:00Z</cp:lastPrinted>
  <dcterms:created xsi:type="dcterms:W3CDTF">2017-07-05T02:37:00Z</dcterms:created>
  <dcterms:modified xsi:type="dcterms:W3CDTF">2017-10-23T08:46:00Z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