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6792" w14:textId="77777777" w:rsidR="002C7865" w:rsidRPr="00A84DA2" w:rsidRDefault="002C7865" w:rsidP="002C7865"/>
    <w:p w14:paraId="19F8F3E7" w14:textId="77777777" w:rsidR="002C7865" w:rsidRDefault="002C7865" w:rsidP="002C7865">
      <w:pPr>
        <w:rPr>
          <w:rFonts w:ascii="楷体_GB2312" w:eastAsia="楷体_GB2312"/>
          <w:sz w:val="24"/>
        </w:rPr>
      </w:pPr>
    </w:p>
    <w:p w14:paraId="7EB1B0AB" w14:textId="77777777" w:rsidR="002C7865" w:rsidRDefault="002C7865" w:rsidP="002C7865">
      <w:pPr>
        <w:rPr>
          <w:rFonts w:ascii="楷体_GB2312" w:eastAsia="楷体_GB2312"/>
          <w:sz w:val="24"/>
        </w:rPr>
      </w:pPr>
    </w:p>
    <w:p w14:paraId="01D38277" w14:textId="77777777" w:rsidR="002C7865" w:rsidRDefault="002C7865" w:rsidP="002C7865">
      <w:pPr>
        <w:ind w:firstLineChars="600" w:firstLine="2280"/>
        <w:rPr>
          <w:rFonts w:ascii="????" w:eastAsia="隶书" w:hAnsi="????"/>
          <w:color w:val="333333"/>
          <w:sz w:val="38"/>
          <w:szCs w:val="38"/>
        </w:rPr>
      </w:pPr>
    </w:p>
    <w:p w14:paraId="2A40C9E7" w14:textId="77777777" w:rsidR="002C7865" w:rsidRDefault="002C7865" w:rsidP="002C7865">
      <w:pPr>
        <w:ind w:firstLineChars="600" w:firstLine="2280"/>
        <w:rPr>
          <w:rFonts w:ascii="????" w:eastAsia="隶书" w:hAnsi="????"/>
          <w:color w:val="333333"/>
          <w:sz w:val="38"/>
          <w:szCs w:val="38"/>
        </w:rPr>
      </w:pPr>
    </w:p>
    <w:p w14:paraId="128E5F04" w14:textId="77777777" w:rsidR="00361D3B" w:rsidRDefault="004D3408" w:rsidP="004D3408">
      <w:pPr>
        <w:jc w:val="center"/>
        <w:rPr>
          <w:rFonts w:ascii="隶书" w:eastAsia="隶书" w:hAnsi="Arial" w:cs="隶书"/>
          <w:b/>
          <w:bCs/>
          <w:sz w:val="44"/>
          <w:szCs w:val="44"/>
        </w:rPr>
      </w:pPr>
      <w:r w:rsidRPr="004D3408">
        <w:rPr>
          <w:rFonts w:ascii="隶书" w:eastAsia="隶书" w:hAnsi="Arial" w:cs="隶书" w:hint="eastAsia"/>
          <w:b/>
          <w:bCs/>
          <w:sz w:val="44"/>
          <w:szCs w:val="44"/>
        </w:rPr>
        <w:t>民事案件流转周期及节点控制的</w:t>
      </w:r>
    </w:p>
    <w:p w14:paraId="7ADFDA7E" w14:textId="77777777" w:rsidR="004D3408" w:rsidRPr="004D3408" w:rsidRDefault="004D3408" w:rsidP="004D3408">
      <w:pPr>
        <w:jc w:val="center"/>
        <w:rPr>
          <w:rFonts w:ascii="隶书" w:eastAsia="隶书" w:hAnsi="Arial" w:cs="隶书"/>
          <w:b/>
          <w:bCs/>
          <w:sz w:val="44"/>
          <w:szCs w:val="44"/>
        </w:rPr>
      </w:pPr>
      <w:r w:rsidRPr="004D3408">
        <w:rPr>
          <w:rFonts w:ascii="隶书" w:eastAsia="隶书" w:hAnsi="Arial" w:cs="隶书" w:hint="eastAsia"/>
          <w:b/>
          <w:bCs/>
          <w:sz w:val="44"/>
          <w:szCs w:val="44"/>
        </w:rPr>
        <w:t>司法统计分析</w:t>
      </w:r>
    </w:p>
    <w:p w14:paraId="78CDFCE5" w14:textId="77777777" w:rsidR="002C7865" w:rsidRDefault="004D3408" w:rsidP="004D3408">
      <w:pPr>
        <w:jc w:val="center"/>
      </w:pPr>
      <w:r w:rsidRPr="004D3408">
        <w:rPr>
          <w:rFonts w:ascii="隶书" w:eastAsia="隶书" w:hAnsi="Arial" w:cs="隶书" w:hint="eastAsia"/>
          <w:b/>
          <w:bCs/>
          <w:sz w:val="44"/>
          <w:szCs w:val="44"/>
        </w:rPr>
        <w:t>——以吉林地区两级法院为分析对象</w:t>
      </w:r>
    </w:p>
    <w:p w14:paraId="116BD767" w14:textId="77777777" w:rsidR="002C7865" w:rsidRDefault="002C7865" w:rsidP="002C7865"/>
    <w:p w14:paraId="713347C8" w14:textId="77777777" w:rsidR="002C7865" w:rsidRDefault="002C7865" w:rsidP="002C7865"/>
    <w:p w14:paraId="5755BACB" w14:textId="77777777" w:rsidR="002C7865" w:rsidRDefault="002C7865" w:rsidP="002C7865"/>
    <w:p w14:paraId="0EEBD065" w14:textId="77777777" w:rsidR="002C7865" w:rsidRDefault="002C7865" w:rsidP="002C7865"/>
    <w:p w14:paraId="07A67395" w14:textId="77777777" w:rsidR="002C7865" w:rsidRDefault="002C7865" w:rsidP="002C7865"/>
    <w:p w14:paraId="17ACDA25" w14:textId="77777777" w:rsidR="002C7865" w:rsidRDefault="002C7865" w:rsidP="002C7865"/>
    <w:p w14:paraId="5D398E10" w14:textId="77777777" w:rsidR="002C7865" w:rsidRDefault="002C7865" w:rsidP="002C7865"/>
    <w:p w14:paraId="040BE6BD" w14:textId="77777777" w:rsidR="002C7865" w:rsidRDefault="002C7865" w:rsidP="002C7865">
      <w:pPr>
        <w:jc w:val="center"/>
        <w:rPr>
          <w:sz w:val="28"/>
          <w:szCs w:val="28"/>
        </w:rPr>
      </w:pPr>
    </w:p>
    <w:p w14:paraId="579F9BDA" w14:textId="77777777" w:rsidR="002C7865" w:rsidRDefault="002C7865" w:rsidP="002C7865">
      <w:pPr>
        <w:jc w:val="center"/>
        <w:rPr>
          <w:sz w:val="28"/>
          <w:szCs w:val="28"/>
        </w:rPr>
      </w:pPr>
    </w:p>
    <w:p w14:paraId="212AE711" w14:textId="77777777" w:rsidR="002C7865" w:rsidRDefault="002C7865" w:rsidP="002C7865">
      <w:pPr>
        <w:jc w:val="center"/>
        <w:rPr>
          <w:sz w:val="28"/>
          <w:szCs w:val="28"/>
        </w:rPr>
      </w:pPr>
    </w:p>
    <w:p w14:paraId="05EF4E19" w14:textId="77777777" w:rsidR="002C7865" w:rsidRDefault="002C7865" w:rsidP="002C7865">
      <w:pPr>
        <w:jc w:val="center"/>
        <w:rPr>
          <w:sz w:val="28"/>
          <w:szCs w:val="28"/>
        </w:rPr>
      </w:pPr>
    </w:p>
    <w:p w14:paraId="4893BD2B" w14:textId="77777777" w:rsidR="002C7865" w:rsidRDefault="002C7865" w:rsidP="002C7865">
      <w:pPr>
        <w:jc w:val="center"/>
        <w:rPr>
          <w:sz w:val="28"/>
          <w:szCs w:val="28"/>
        </w:rPr>
      </w:pPr>
    </w:p>
    <w:p w14:paraId="66CCFB47" w14:textId="77777777" w:rsidR="002C7865" w:rsidRDefault="002C7865" w:rsidP="002C7865">
      <w:pPr>
        <w:jc w:val="center"/>
        <w:rPr>
          <w:sz w:val="28"/>
          <w:szCs w:val="28"/>
        </w:rPr>
      </w:pPr>
    </w:p>
    <w:p w14:paraId="60D0B8C5" w14:textId="77777777" w:rsidR="002C7865" w:rsidRDefault="002C7865" w:rsidP="002C7865">
      <w:pPr>
        <w:jc w:val="center"/>
        <w:rPr>
          <w:sz w:val="28"/>
          <w:szCs w:val="28"/>
        </w:rPr>
      </w:pPr>
    </w:p>
    <w:p w14:paraId="424D3F93" w14:textId="77777777" w:rsidR="00416EDE" w:rsidRDefault="00416EDE" w:rsidP="002C7865">
      <w:pPr>
        <w:jc w:val="center"/>
        <w:rPr>
          <w:sz w:val="28"/>
          <w:szCs w:val="28"/>
        </w:rPr>
      </w:pPr>
    </w:p>
    <w:p w14:paraId="288CB45C" w14:textId="77777777" w:rsidR="002C7865" w:rsidRDefault="004D3408" w:rsidP="004D3408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吉林</w:t>
      </w:r>
      <w:r w:rsidR="002C7865">
        <w:rPr>
          <w:rFonts w:ascii="宋体" w:hAnsi="宋体" w:cs="宋体" w:hint="eastAsia"/>
          <w:sz w:val="28"/>
          <w:szCs w:val="28"/>
        </w:rPr>
        <w:t>省</w:t>
      </w:r>
      <w:r>
        <w:rPr>
          <w:rFonts w:ascii="宋体" w:hAnsi="宋体" w:cs="宋体" w:hint="eastAsia"/>
          <w:sz w:val="28"/>
          <w:szCs w:val="28"/>
        </w:rPr>
        <w:t>吉林</w:t>
      </w:r>
      <w:r w:rsidR="002C7865">
        <w:rPr>
          <w:rFonts w:ascii="宋体" w:hAnsi="宋体" w:cs="宋体" w:hint="eastAsia"/>
          <w:sz w:val="28"/>
          <w:szCs w:val="28"/>
        </w:rPr>
        <w:t>市</w:t>
      </w:r>
      <w:r>
        <w:rPr>
          <w:rFonts w:ascii="宋体" w:hAnsi="宋体" w:cs="宋体" w:hint="eastAsia"/>
          <w:sz w:val="28"/>
          <w:szCs w:val="28"/>
        </w:rPr>
        <w:t>中级</w:t>
      </w:r>
      <w:r w:rsidR="002C7865">
        <w:rPr>
          <w:rFonts w:ascii="宋体" w:hAnsi="宋体" w:cs="宋体" w:hint="eastAsia"/>
          <w:sz w:val="28"/>
          <w:szCs w:val="28"/>
        </w:rPr>
        <w:t>人民法院</w:t>
      </w:r>
      <w:r>
        <w:rPr>
          <w:rFonts w:ascii="宋体" w:hAnsi="宋体" w:cs="宋体" w:hint="eastAsia"/>
          <w:sz w:val="28"/>
          <w:szCs w:val="28"/>
        </w:rPr>
        <w:t>课题组</w:t>
      </w:r>
    </w:p>
    <w:p w14:paraId="38EFEB9D" w14:textId="77777777" w:rsidR="00A77365" w:rsidRDefault="00A77365" w:rsidP="004D3408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吉林大学司法数据应用研究中心研究成果</w:t>
      </w:r>
    </w:p>
    <w:p w14:paraId="71D6D7D7" w14:textId="19C19D4E" w:rsidR="001A0177" w:rsidRDefault="001A0177" w:rsidP="004D3408">
      <w:pPr>
        <w:jc w:val="center"/>
      </w:pPr>
      <w:r>
        <w:rPr>
          <w:rFonts w:ascii="宋体" w:hAnsi="宋体" w:cs="宋体" w:hint="eastAsia"/>
          <w:sz w:val="28"/>
          <w:szCs w:val="28"/>
        </w:rPr>
        <w:t xml:space="preserve">吕建萍 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廖卉 王丹彤</w:t>
      </w:r>
    </w:p>
    <w:p w14:paraId="672EB6BB" w14:textId="77777777" w:rsidR="002C7865" w:rsidRDefault="002C7865" w:rsidP="00A77365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二○一七年</w:t>
      </w:r>
      <w:r w:rsidR="004D3408">
        <w:rPr>
          <w:rFonts w:ascii="宋体" w:hAnsi="宋体" w:cs="宋体" w:hint="eastAsia"/>
          <w:sz w:val="28"/>
          <w:szCs w:val="28"/>
        </w:rPr>
        <w:t>六</w:t>
      </w:r>
      <w:r>
        <w:rPr>
          <w:rFonts w:ascii="宋体" w:hAnsi="宋体" w:cs="宋体" w:hint="eastAsia"/>
          <w:sz w:val="28"/>
          <w:szCs w:val="28"/>
        </w:rPr>
        <w:t>月</w:t>
      </w:r>
      <w:r w:rsidR="004D3408">
        <w:rPr>
          <w:rFonts w:ascii="宋体" w:hAnsi="宋体" w:cs="宋体" w:hint="eastAsia"/>
          <w:sz w:val="28"/>
          <w:szCs w:val="28"/>
        </w:rPr>
        <w:t>二十六</w:t>
      </w:r>
      <w:r>
        <w:rPr>
          <w:rFonts w:ascii="宋体" w:hAnsi="宋体" w:cs="宋体" w:hint="eastAsia"/>
          <w:sz w:val="28"/>
          <w:szCs w:val="28"/>
        </w:rPr>
        <w:t>日</w:t>
      </w:r>
    </w:p>
    <w:p w14:paraId="062515D4" w14:textId="77777777" w:rsidR="00391C68" w:rsidRPr="00A77365" w:rsidRDefault="00391C68" w:rsidP="00A77365">
      <w:pPr>
        <w:jc w:val="center"/>
        <w:rPr>
          <w:rFonts w:ascii="宋体" w:hAnsi="宋体" w:cs="宋体"/>
          <w:sz w:val="28"/>
          <w:szCs w:val="28"/>
        </w:rPr>
      </w:pPr>
    </w:p>
    <w:p w14:paraId="57C31D16" w14:textId="77777777" w:rsidR="00A920DA" w:rsidRPr="00204BB7" w:rsidRDefault="00C365DF" w:rsidP="00115309">
      <w:pPr>
        <w:jc w:val="center"/>
        <w:rPr>
          <w:rFonts w:ascii="黑体" w:eastAsia="黑体" w:hAnsi="黑体"/>
          <w:sz w:val="36"/>
          <w:szCs w:val="36"/>
        </w:rPr>
      </w:pPr>
      <w:r w:rsidRPr="00204BB7">
        <w:rPr>
          <w:rFonts w:ascii="黑体" w:eastAsia="黑体" w:hAnsi="黑体" w:hint="eastAsia"/>
          <w:sz w:val="36"/>
          <w:szCs w:val="36"/>
        </w:rPr>
        <w:t>民事案件流转周期及节点控制的司法统计分析</w:t>
      </w:r>
    </w:p>
    <w:p w14:paraId="733FC23C" w14:textId="77777777" w:rsidR="00A920DA" w:rsidRPr="00204BB7" w:rsidRDefault="00C365DF" w:rsidP="00115309">
      <w:pPr>
        <w:jc w:val="center"/>
        <w:rPr>
          <w:rFonts w:ascii="黑体" w:eastAsia="黑体" w:hAnsi="黑体"/>
          <w:sz w:val="36"/>
          <w:szCs w:val="36"/>
        </w:rPr>
      </w:pPr>
      <w:r w:rsidRPr="00204BB7">
        <w:rPr>
          <w:rFonts w:ascii="黑体" w:eastAsia="黑体" w:hAnsi="黑体" w:hint="eastAsia"/>
          <w:sz w:val="36"/>
          <w:szCs w:val="36"/>
        </w:rPr>
        <w:t>——以吉林地区两级法院为分析对象</w:t>
      </w:r>
      <w:r w:rsidR="009F4AC1" w:rsidRPr="009F4AC1">
        <w:rPr>
          <w:rFonts w:ascii="黑体" w:eastAsia="黑体" w:hAnsi="黑体" w:hint="eastAsia"/>
          <w:sz w:val="36"/>
          <w:szCs w:val="36"/>
          <w:vertAlign w:val="superscript"/>
        </w:rPr>
        <w:t>*</w:t>
      </w:r>
    </w:p>
    <w:p w14:paraId="700B718E" w14:textId="77777777" w:rsidR="00A920DA" w:rsidRPr="00204BB7" w:rsidRDefault="00C365DF">
      <w:pPr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【摘要】案件的</w:t>
      </w:r>
      <w:r w:rsidR="00204BB7" w:rsidRPr="00204BB7">
        <w:rPr>
          <w:rFonts w:ascii="仿宋" w:eastAsia="仿宋" w:hAnsi="仿宋" w:hint="eastAsia"/>
          <w:sz w:val="30"/>
          <w:szCs w:val="30"/>
        </w:rPr>
        <w:t>流转</w:t>
      </w:r>
      <w:r w:rsidRPr="00204BB7">
        <w:rPr>
          <w:rFonts w:ascii="仿宋" w:eastAsia="仿宋" w:hAnsi="仿宋" w:hint="eastAsia"/>
          <w:sz w:val="30"/>
          <w:szCs w:val="30"/>
        </w:rPr>
        <w:t>周期，关系到法院的办案效率，更关系到能否实现人民群众“等得起”的司法公正的工作目标。本文通过研究2012-2016</w:t>
      </w:r>
      <w:r w:rsidR="002B0BBA">
        <w:rPr>
          <w:rFonts w:ascii="仿宋" w:eastAsia="仿宋" w:hAnsi="仿宋" w:hint="eastAsia"/>
          <w:sz w:val="30"/>
          <w:szCs w:val="30"/>
        </w:rPr>
        <w:t>年</w:t>
      </w:r>
      <w:r w:rsidRPr="00204BB7">
        <w:rPr>
          <w:rFonts w:ascii="仿宋" w:eastAsia="仿宋" w:hAnsi="仿宋" w:hint="eastAsia"/>
          <w:sz w:val="30"/>
          <w:szCs w:val="30"/>
        </w:rPr>
        <w:t>吉林地区两级法院审理民事案件的案件流转周期情况，分析可能影响案件</w:t>
      </w:r>
      <w:r w:rsidR="00204BB7" w:rsidRPr="00204BB7">
        <w:rPr>
          <w:rFonts w:ascii="仿宋" w:eastAsia="仿宋" w:hAnsi="仿宋" w:hint="eastAsia"/>
          <w:sz w:val="30"/>
          <w:szCs w:val="30"/>
        </w:rPr>
        <w:t>流转</w:t>
      </w:r>
      <w:r w:rsidRPr="00204BB7">
        <w:rPr>
          <w:rFonts w:ascii="仿宋" w:eastAsia="仿宋" w:hAnsi="仿宋" w:hint="eastAsia"/>
          <w:sz w:val="30"/>
          <w:szCs w:val="30"/>
        </w:rPr>
        <w:t>周期的因素，并提出严格节点控制、提高审判效率的具体措施。</w:t>
      </w:r>
    </w:p>
    <w:p w14:paraId="021034DF" w14:textId="77777777" w:rsidR="00A920DA" w:rsidRPr="002C7865" w:rsidRDefault="00C365DF">
      <w:pPr>
        <w:rPr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【关键词】审理期限 审理周期 节点 效率</w:t>
      </w:r>
    </w:p>
    <w:p w14:paraId="42C91239" w14:textId="77777777" w:rsidR="007D229B" w:rsidRDefault="007D229B">
      <w:pPr>
        <w:rPr>
          <w:sz w:val="30"/>
          <w:szCs w:val="30"/>
        </w:rPr>
      </w:pPr>
    </w:p>
    <w:p w14:paraId="36CCEBED" w14:textId="77777777" w:rsidR="00EE2C60" w:rsidRDefault="00EE2C60">
      <w:pPr>
        <w:rPr>
          <w:sz w:val="30"/>
          <w:szCs w:val="30"/>
        </w:rPr>
      </w:pPr>
    </w:p>
    <w:p w14:paraId="6E83BE0F" w14:textId="77777777" w:rsidR="00EE2C60" w:rsidRDefault="00EE2C60">
      <w:pPr>
        <w:rPr>
          <w:sz w:val="30"/>
          <w:szCs w:val="30"/>
        </w:rPr>
      </w:pPr>
    </w:p>
    <w:p w14:paraId="4F1F32EB" w14:textId="77777777" w:rsidR="00EE2C60" w:rsidRDefault="00EE2C60">
      <w:pPr>
        <w:rPr>
          <w:sz w:val="30"/>
          <w:szCs w:val="30"/>
        </w:rPr>
      </w:pPr>
    </w:p>
    <w:p w14:paraId="7AF149BE" w14:textId="77777777" w:rsidR="00EE2C60" w:rsidRDefault="00EE2C60">
      <w:pPr>
        <w:rPr>
          <w:sz w:val="30"/>
          <w:szCs w:val="30"/>
        </w:rPr>
      </w:pPr>
    </w:p>
    <w:p w14:paraId="15A6FF34" w14:textId="77777777" w:rsidR="00EE2C60" w:rsidRDefault="00EE2C60">
      <w:pPr>
        <w:rPr>
          <w:sz w:val="30"/>
          <w:szCs w:val="30"/>
        </w:rPr>
      </w:pPr>
    </w:p>
    <w:p w14:paraId="42992710" w14:textId="77777777" w:rsidR="00EE2C60" w:rsidRDefault="00EE2C60">
      <w:pPr>
        <w:rPr>
          <w:sz w:val="30"/>
          <w:szCs w:val="30"/>
        </w:rPr>
      </w:pPr>
    </w:p>
    <w:p w14:paraId="087C5AFF" w14:textId="77777777" w:rsidR="00EE2C60" w:rsidRDefault="00EE2C60">
      <w:pPr>
        <w:rPr>
          <w:sz w:val="30"/>
          <w:szCs w:val="30"/>
        </w:rPr>
      </w:pPr>
    </w:p>
    <w:p w14:paraId="25BB955F" w14:textId="77777777" w:rsidR="00EE2C60" w:rsidRDefault="00EE2C60">
      <w:pPr>
        <w:rPr>
          <w:sz w:val="30"/>
          <w:szCs w:val="30"/>
        </w:rPr>
      </w:pPr>
    </w:p>
    <w:p w14:paraId="285E21D9" w14:textId="77777777" w:rsidR="00EE2C60" w:rsidRDefault="00EE2C60">
      <w:pPr>
        <w:rPr>
          <w:sz w:val="30"/>
          <w:szCs w:val="30"/>
        </w:rPr>
      </w:pPr>
    </w:p>
    <w:p w14:paraId="3E454E7C" w14:textId="77777777" w:rsidR="00EE2C60" w:rsidRDefault="00EE2C60">
      <w:pPr>
        <w:rPr>
          <w:sz w:val="30"/>
          <w:szCs w:val="30"/>
        </w:rPr>
      </w:pPr>
    </w:p>
    <w:p w14:paraId="03E0BDEC" w14:textId="77777777" w:rsidR="00EE2C60" w:rsidRDefault="00EE2C60">
      <w:pPr>
        <w:rPr>
          <w:sz w:val="30"/>
          <w:szCs w:val="30"/>
        </w:rPr>
      </w:pPr>
    </w:p>
    <w:p w14:paraId="5FE2B62A" w14:textId="77777777" w:rsidR="00EE2C60" w:rsidRDefault="00EE2C60">
      <w:pPr>
        <w:rPr>
          <w:sz w:val="30"/>
          <w:szCs w:val="30"/>
        </w:rPr>
      </w:pPr>
    </w:p>
    <w:p w14:paraId="17734247" w14:textId="77777777" w:rsidR="00EE2C60" w:rsidRDefault="00EE2C60">
      <w:pPr>
        <w:rPr>
          <w:sz w:val="30"/>
          <w:szCs w:val="30"/>
        </w:rPr>
      </w:pPr>
    </w:p>
    <w:p w14:paraId="3BC2492D" w14:textId="77777777" w:rsidR="00EE2C60" w:rsidRPr="00391C68" w:rsidRDefault="00EE2C60">
      <w:pPr>
        <w:rPr>
          <w:sz w:val="30"/>
          <w:szCs w:val="30"/>
        </w:rPr>
      </w:pPr>
    </w:p>
    <w:p w14:paraId="277E23B5" w14:textId="77777777" w:rsidR="00A920DA" w:rsidRPr="005D059A" w:rsidRDefault="007D229B">
      <w:pPr>
        <w:rPr>
          <w:b/>
          <w:sz w:val="30"/>
          <w:szCs w:val="30"/>
        </w:rPr>
      </w:pPr>
      <w:r w:rsidRPr="005D059A">
        <w:rPr>
          <w:rFonts w:hint="eastAsia"/>
          <w:b/>
          <w:sz w:val="30"/>
          <w:szCs w:val="30"/>
        </w:rPr>
        <w:t>以下正文：</w:t>
      </w:r>
    </w:p>
    <w:p w14:paraId="2D2CA0DC" w14:textId="77777777" w:rsidR="00A920DA" w:rsidRPr="00416EDE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416EDE">
        <w:rPr>
          <w:rFonts w:ascii="仿宋" w:eastAsia="仿宋" w:hAnsi="仿宋" w:hint="eastAsia"/>
          <w:b/>
          <w:sz w:val="30"/>
          <w:szCs w:val="30"/>
        </w:rPr>
        <w:t>一、吉林地区民事案件流转周期基本情况</w:t>
      </w:r>
    </w:p>
    <w:p w14:paraId="2423E40D" w14:textId="77777777" w:rsidR="00A920DA" w:rsidRPr="00204BB7" w:rsidRDefault="00C365DF">
      <w:pPr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 xml:space="preserve">    案件流转周期，就是从立案开始，直到案件最终生效的过程。</w:t>
      </w:r>
      <w:r w:rsidRPr="00204BB7">
        <w:rPr>
          <w:rStyle w:val="ab"/>
          <w:rFonts w:ascii="仿宋" w:eastAsia="仿宋" w:hAnsi="仿宋"/>
          <w:sz w:val="30"/>
          <w:szCs w:val="30"/>
        </w:rPr>
        <w:footnoteReference w:id="1"/>
      </w:r>
      <w:r w:rsidRPr="00204BB7">
        <w:rPr>
          <w:rFonts w:ascii="仿宋" w:eastAsia="仿宋" w:hAnsi="仿宋" w:hint="eastAsia"/>
          <w:sz w:val="30"/>
          <w:szCs w:val="30"/>
        </w:rPr>
        <w:t>在整个过程中，历经的时间主要分为两个部分，一个部分是案件的审理时间，另一部分是案件在审理过程之外，在不同审理过程之间流转的时间。本文将对这两部分时间分别讨论。</w:t>
      </w:r>
    </w:p>
    <w:p w14:paraId="0FF08F2E" w14:textId="77777777" w:rsidR="00A920DA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9B2493">
        <w:rPr>
          <w:rFonts w:ascii="仿宋" w:eastAsia="仿宋" w:hAnsi="仿宋" w:hint="eastAsia"/>
          <w:b/>
          <w:sz w:val="30"/>
          <w:szCs w:val="30"/>
        </w:rPr>
        <w:t>（一）民事案件审理时间</w:t>
      </w:r>
    </w:p>
    <w:p w14:paraId="1AB1A3FE" w14:textId="77777777" w:rsidR="00A920DA" w:rsidRPr="00204BB7" w:rsidRDefault="00C365DF" w:rsidP="009B249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审理时间受到法律的明确约束</w:t>
      </w:r>
      <w:r w:rsidR="005D059A">
        <w:rPr>
          <w:rFonts w:ascii="仿宋" w:eastAsia="仿宋" w:hAnsi="仿宋" w:hint="eastAsia"/>
          <w:sz w:val="30"/>
          <w:szCs w:val="30"/>
        </w:rPr>
        <w:t>，</w:t>
      </w:r>
      <w:r w:rsidR="003E6137">
        <w:rPr>
          <w:rFonts w:ascii="仿宋" w:eastAsia="仿宋" w:hAnsi="仿宋" w:hint="eastAsia"/>
          <w:sz w:val="30"/>
          <w:szCs w:val="30"/>
        </w:rPr>
        <w:t>就是案件的审理期限（以下简称审限）</w:t>
      </w:r>
      <w:r w:rsidR="003B535B">
        <w:rPr>
          <w:rFonts w:ascii="仿宋" w:eastAsia="仿宋" w:hAnsi="仿宋" w:hint="eastAsia"/>
          <w:sz w:val="30"/>
          <w:szCs w:val="30"/>
        </w:rPr>
        <w:t>。根据2012-2016</w:t>
      </w:r>
      <w:r w:rsidRPr="00204BB7">
        <w:rPr>
          <w:rFonts w:ascii="仿宋" w:eastAsia="仿宋" w:hAnsi="仿宋" w:hint="eastAsia"/>
          <w:sz w:val="30"/>
          <w:szCs w:val="30"/>
        </w:rPr>
        <w:t>年吉林地区民事案件平均审理天数的统计，可以看出审判效率变化，其中2012-2014年比较平稳保持在46</w:t>
      </w:r>
      <w:r w:rsidR="006217C1">
        <w:rPr>
          <w:rFonts w:ascii="仿宋" w:eastAsia="仿宋" w:hAnsi="仿宋" w:hint="eastAsia"/>
          <w:sz w:val="30"/>
          <w:szCs w:val="30"/>
        </w:rPr>
        <w:t>天左右，但</w:t>
      </w:r>
      <w:r w:rsidRPr="00204BB7">
        <w:rPr>
          <w:rFonts w:ascii="仿宋" w:eastAsia="仿宋" w:hAnsi="仿宋" w:hint="eastAsia"/>
          <w:sz w:val="30"/>
          <w:szCs w:val="30"/>
        </w:rPr>
        <w:t>随着2015年立案登记制开始，案件数量增大，平均审理天数也随之增加，而2015年也是</w:t>
      </w:r>
      <w:r w:rsidR="006217C1">
        <w:rPr>
          <w:rFonts w:ascii="仿宋" w:eastAsia="仿宋" w:hAnsi="仿宋" w:hint="eastAsia"/>
          <w:sz w:val="30"/>
          <w:szCs w:val="30"/>
        </w:rPr>
        <w:t>员额制改革开始时间，</w:t>
      </w:r>
      <w:r w:rsidRPr="00204BB7">
        <w:rPr>
          <w:rFonts w:ascii="仿宋" w:eastAsia="仿宋" w:hAnsi="仿宋" w:hint="eastAsia"/>
          <w:sz w:val="30"/>
          <w:szCs w:val="30"/>
        </w:rPr>
        <w:t>导致平均审理天数增加到75天左右。</w:t>
      </w:r>
    </w:p>
    <w:p w14:paraId="2BECF74E" w14:textId="77777777" w:rsidR="006E5FC9" w:rsidRDefault="00BE1FC3" w:rsidP="006217C1">
      <w:pPr>
        <w:jc w:val="center"/>
        <w:rPr>
          <w:rFonts w:ascii="仿宋" w:eastAsia="仿宋" w:hAnsi="仿宋"/>
          <w:b/>
          <w:sz w:val="30"/>
          <w:szCs w:val="30"/>
        </w:rPr>
      </w:pPr>
      <w:r w:rsidRPr="00EC5BAA">
        <w:rPr>
          <w:rFonts w:ascii="仿宋" w:eastAsia="仿宋" w:hAnsi="仿宋" w:hint="eastAsia"/>
          <w:b/>
          <w:sz w:val="30"/>
          <w:szCs w:val="30"/>
        </w:rPr>
        <w:t>图</w:t>
      </w:r>
      <w:r w:rsidR="00C365DF" w:rsidRPr="00EC5BAA">
        <w:rPr>
          <w:rFonts w:ascii="仿宋" w:eastAsia="仿宋" w:hAnsi="仿宋" w:hint="eastAsia"/>
          <w:b/>
          <w:sz w:val="30"/>
          <w:szCs w:val="30"/>
        </w:rPr>
        <w:t>表1：2012-2016年吉林地区民事案件受理及审理时间情况</w:t>
      </w:r>
    </w:p>
    <w:p w14:paraId="3CD82F5F" w14:textId="77777777" w:rsidR="006E5FC9" w:rsidRPr="0074118D" w:rsidRDefault="00FD36C9" w:rsidP="0074118D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noProof/>
          <w:sz w:val="30"/>
          <w:szCs w:val="30"/>
        </w:rPr>
        <w:drawing>
          <wp:inline distT="0" distB="0" distL="0" distR="0" wp14:anchorId="7D125E5B" wp14:editId="44BAB481">
            <wp:extent cx="4505325" cy="781050"/>
            <wp:effectExtent l="19050" t="0" r="9525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E26A7" w14:textId="77777777" w:rsidR="00A920DA" w:rsidRPr="00204BB7" w:rsidRDefault="00C365DF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下面主要结合2016年情况进行分析。</w:t>
      </w:r>
    </w:p>
    <w:p w14:paraId="6A3DB805" w14:textId="77777777" w:rsidR="00E11872" w:rsidRPr="00E11872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lastRenderedPageBreak/>
        <w:t>1.不同审判程序</w:t>
      </w:r>
      <w:r w:rsidR="006141FE">
        <w:rPr>
          <w:rFonts w:ascii="仿宋" w:eastAsia="仿宋" w:hAnsi="仿宋" w:hint="eastAsia"/>
          <w:b/>
          <w:sz w:val="30"/>
          <w:szCs w:val="30"/>
        </w:rPr>
        <w:t>的</w:t>
      </w:r>
      <w:r w:rsidRPr="00E11872">
        <w:rPr>
          <w:rFonts w:ascii="仿宋" w:eastAsia="仿宋" w:hAnsi="仿宋" w:hint="eastAsia"/>
          <w:b/>
          <w:sz w:val="30"/>
          <w:szCs w:val="30"/>
        </w:rPr>
        <w:t>民事案件</w:t>
      </w:r>
    </w:p>
    <w:p w14:paraId="5CC99279" w14:textId="77777777" w:rsidR="00CA59D3" w:rsidRPr="000A06B4" w:rsidRDefault="00C365DF" w:rsidP="000A06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2016</w:t>
      </w:r>
      <w:r w:rsidR="00357A66">
        <w:rPr>
          <w:rFonts w:ascii="仿宋" w:eastAsia="仿宋" w:hAnsi="仿宋" w:hint="eastAsia"/>
          <w:sz w:val="30"/>
          <w:szCs w:val="30"/>
        </w:rPr>
        <w:t>年吉林地区两级法院民事</w:t>
      </w:r>
      <w:r w:rsidRPr="00204BB7">
        <w:rPr>
          <w:rFonts w:ascii="仿宋" w:eastAsia="仿宋" w:hAnsi="仿宋" w:hint="eastAsia"/>
          <w:sz w:val="30"/>
          <w:szCs w:val="30"/>
        </w:rPr>
        <w:t>案件平均审理天数是74.7天，法定审限内结案率为97.03%。其中一审案件平均审理78.2天，因程序不同，案件办理时间也有很大差别。</w:t>
      </w:r>
    </w:p>
    <w:p w14:paraId="3C05130F" w14:textId="77777777" w:rsidR="00A920DA" w:rsidRPr="00E11872" w:rsidRDefault="00BE1FC3">
      <w:pPr>
        <w:jc w:val="center"/>
        <w:rPr>
          <w:rFonts w:ascii="仿宋" w:eastAsia="仿宋" w:hAnsi="仿宋"/>
          <w:b/>
          <w:sz w:val="30"/>
          <w:szCs w:val="30"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t>图</w:t>
      </w:r>
      <w:r w:rsidR="00C365DF" w:rsidRPr="00E11872">
        <w:rPr>
          <w:rFonts w:ascii="仿宋" w:eastAsia="仿宋" w:hAnsi="仿宋" w:hint="eastAsia"/>
          <w:b/>
          <w:sz w:val="30"/>
          <w:szCs w:val="30"/>
        </w:rPr>
        <w:t>表2:2016年吉林地区两级法院不同程序案件平均审理天数</w:t>
      </w:r>
    </w:p>
    <w:p w14:paraId="29B8FDE4" w14:textId="77777777" w:rsidR="00A920DA" w:rsidRDefault="00FD36C9">
      <w:pPr>
        <w:ind w:firstLine="420"/>
      </w:pPr>
      <w:r>
        <w:rPr>
          <w:noProof/>
        </w:rPr>
        <w:drawing>
          <wp:inline distT="0" distB="0" distL="0" distR="0" wp14:anchorId="49ABA4FC" wp14:editId="58E53581">
            <wp:extent cx="4495800" cy="800100"/>
            <wp:effectExtent l="19050" t="0" r="0" b="0"/>
            <wp:docPr id="5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ECB2" w14:textId="77777777" w:rsidR="00E11872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t>（1）一审简易程序</w:t>
      </w:r>
    </w:p>
    <w:p w14:paraId="0DB52C7A" w14:textId="77777777" w:rsidR="00A920DA" w:rsidRPr="00E11872" w:rsidRDefault="00C365DF" w:rsidP="00E11872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吉林地区基层法院一审简易程序适用率为59.2%，其中30天内审结的案件占比为29.5%，60天内审结的案件占比为63.1%。</w:t>
      </w:r>
    </w:p>
    <w:p w14:paraId="7A78068E" w14:textId="77777777" w:rsidR="00BE1FC3" w:rsidRPr="00E11872" w:rsidRDefault="00BE1FC3" w:rsidP="00BE1FC3">
      <w:pPr>
        <w:jc w:val="center"/>
        <w:rPr>
          <w:b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t>图表3：一审简易程序审理天数直方图</w:t>
      </w:r>
    </w:p>
    <w:p w14:paraId="69A0654D" w14:textId="77777777" w:rsidR="00A920DA" w:rsidRDefault="00C365DF">
      <w:pPr>
        <w:ind w:firstLine="420"/>
      </w:pPr>
      <w:r>
        <w:rPr>
          <w:noProof/>
        </w:rPr>
        <w:lastRenderedPageBreak/>
        <w:drawing>
          <wp:inline distT="0" distB="0" distL="0" distR="0" wp14:anchorId="6C428D85" wp14:editId="503C2A97">
            <wp:extent cx="5274310" cy="4023360"/>
            <wp:effectExtent l="19050" t="0" r="2540" b="0"/>
            <wp:docPr id="12" name="图片 10" descr="简易程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简易程序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3495" w14:textId="77777777" w:rsidR="00A920DA" w:rsidRPr="00E11872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t>（2）一审普通程序</w:t>
      </w:r>
    </w:p>
    <w:p w14:paraId="4AFD0A66" w14:textId="77777777" w:rsidR="00A920DA" w:rsidRDefault="00C365DF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一审普通程序平均审理天数120.1天，其中，60天内审结占15.9%，90</w:t>
      </w:r>
      <w:r w:rsidR="00256771">
        <w:rPr>
          <w:rFonts w:ascii="仿宋" w:eastAsia="仿宋" w:hAnsi="仿宋" w:hint="eastAsia"/>
          <w:sz w:val="30"/>
          <w:szCs w:val="30"/>
        </w:rPr>
        <w:t>天</w:t>
      </w:r>
      <w:r w:rsidRPr="00204BB7">
        <w:rPr>
          <w:rFonts w:ascii="仿宋" w:eastAsia="仿宋" w:hAnsi="仿宋" w:hint="eastAsia"/>
          <w:sz w:val="30"/>
          <w:szCs w:val="30"/>
        </w:rPr>
        <w:t>内审结</w:t>
      </w:r>
      <w:r w:rsidR="00256771">
        <w:rPr>
          <w:rFonts w:ascii="仿宋" w:eastAsia="仿宋" w:hAnsi="仿宋" w:hint="eastAsia"/>
          <w:sz w:val="30"/>
          <w:szCs w:val="30"/>
        </w:rPr>
        <w:t>占</w:t>
      </w:r>
      <w:r w:rsidRPr="00204BB7">
        <w:rPr>
          <w:rFonts w:ascii="仿宋" w:eastAsia="仿宋" w:hAnsi="仿宋" w:hint="eastAsia"/>
          <w:sz w:val="30"/>
          <w:szCs w:val="30"/>
        </w:rPr>
        <w:t>33%，120天内审结占52.5%</w:t>
      </w:r>
      <w:r w:rsidR="00256771">
        <w:rPr>
          <w:rFonts w:ascii="仿宋" w:eastAsia="仿宋" w:hAnsi="仿宋" w:hint="eastAsia"/>
          <w:sz w:val="30"/>
          <w:szCs w:val="30"/>
        </w:rPr>
        <w:t>。近一半</w:t>
      </w:r>
      <w:r w:rsidRPr="00204BB7">
        <w:rPr>
          <w:rFonts w:ascii="仿宋" w:eastAsia="仿宋" w:hAnsi="仿宋" w:hint="eastAsia"/>
          <w:sz w:val="30"/>
          <w:szCs w:val="30"/>
        </w:rPr>
        <w:t>案件在最后</w:t>
      </w:r>
      <w:r w:rsidR="00256771">
        <w:rPr>
          <w:rFonts w:ascii="仿宋" w:eastAsia="仿宋" w:hAnsi="仿宋" w:hint="eastAsia"/>
          <w:sz w:val="30"/>
          <w:szCs w:val="30"/>
        </w:rPr>
        <w:t>1/3</w:t>
      </w:r>
      <w:r w:rsidRPr="00204BB7">
        <w:rPr>
          <w:rFonts w:ascii="仿宋" w:eastAsia="仿宋" w:hAnsi="仿宋" w:hint="eastAsia"/>
          <w:sz w:val="30"/>
          <w:szCs w:val="30"/>
        </w:rPr>
        <w:t>审限内审结的。</w:t>
      </w:r>
    </w:p>
    <w:p w14:paraId="6884D5D3" w14:textId="77777777" w:rsidR="00275832" w:rsidRPr="00E11872" w:rsidRDefault="00275832" w:rsidP="00E27C68">
      <w:pPr>
        <w:jc w:val="center"/>
        <w:rPr>
          <w:rFonts w:ascii="仿宋" w:eastAsia="仿宋" w:hAnsi="仿宋"/>
          <w:b/>
          <w:sz w:val="30"/>
          <w:szCs w:val="30"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t>图表4：一审普通程序</w:t>
      </w:r>
      <w:r w:rsidR="00E27C68" w:rsidRPr="00E11872">
        <w:rPr>
          <w:rFonts w:ascii="仿宋" w:eastAsia="仿宋" w:hAnsi="仿宋" w:hint="eastAsia"/>
          <w:b/>
          <w:sz w:val="30"/>
          <w:szCs w:val="30"/>
        </w:rPr>
        <w:t>审理天数直方图</w:t>
      </w:r>
    </w:p>
    <w:p w14:paraId="4B0BF9A3" w14:textId="77777777" w:rsidR="00A920DA" w:rsidRDefault="00C365DF" w:rsidP="006141F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2F3AC5B0" wp14:editId="7CBEBAD0">
            <wp:extent cx="5274310" cy="4177665"/>
            <wp:effectExtent l="19050" t="0" r="2540" b="0"/>
            <wp:docPr id="13" name="图片 12" descr="普通程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普通程序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4B0F7" w14:textId="77777777" w:rsidR="00A920DA" w:rsidRPr="00E11872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t>（3）二审程序</w:t>
      </w:r>
    </w:p>
    <w:p w14:paraId="08B5C9E7" w14:textId="77777777" w:rsidR="00A920DA" w:rsidRDefault="00C365DF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二审程序案件平均审理天数是53.60天，其中30天内审结占26.6%，60天内审结占57.6%，有近一半的案件是在最后</w:t>
      </w:r>
      <w:r w:rsidR="00731878">
        <w:rPr>
          <w:rFonts w:ascii="仿宋" w:eastAsia="仿宋" w:hAnsi="仿宋" w:hint="eastAsia"/>
          <w:sz w:val="30"/>
          <w:szCs w:val="30"/>
        </w:rPr>
        <w:t>1/3</w:t>
      </w:r>
      <w:r w:rsidRPr="00204BB7">
        <w:rPr>
          <w:rFonts w:ascii="仿宋" w:eastAsia="仿宋" w:hAnsi="仿宋" w:hint="eastAsia"/>
          <w:sz w:val="30"/>
          <w:szCs w:val="30"/>
        </w:rPr>
        <w:t>审限内审结。</w:t>
      </w:r>
    </w:p>
    <w:p w14:paraId="410F520C" w14:textId="77777777" w:rsidR="00CA59D3" w:rsidRDefault="00CA59D3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3CB79DE" w14:textId="77777777" w:rsidR="00731878" w:rsidRDefault="00731878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300EF584" w14:textId="77777777" w:rsidR="00731878" w:rsidRDefault="00731878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8EDA7D0" w14:textId="77777777" w:rsidR="00731878" w:rsidRDefault="00731878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604BAEC0" w14:textId="77777777" w:rsidR="00731878" w:rsidRPr="00731878" w:rsidRDefault="00731878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27BF3EF" w14:textId="77777777" w:rsidR="00E27C68" w:rsidRPr="00E11872" w:rsidRDefault="00E27C68" w:rsidP="00E27C68">
      <w:pPr>
        <w:jc w:val="center"/>
        <w:rPr>
          <w:rFonts w:ascii="仿宋" w:eastAsia="仿宋" w:hAnsi="仿宋"/>
          <w:b/>
          <w:sz w:val="30"/>
          <w:szCs w:val="30"/>
        </w:rPr>
      </w:pPr>
      <w:r w:rsidRPr="00E11872">
        <w:rPr>
          <w:rFonts w:ascii="仿宋" w:eastAsia="仿宋" w:hAnsi="仿宋" w:hint="eastAsia"/>
          <w:b/>
          <w:sz w:val="30"/>
          <w:szCs w:val="30"/>
        </w:rPr>
        <w:t>图表5：二审案件审理天数直方图</w:t>
      </w:r>
    </w:p>
    <w:p w14:paraId="7849FF26" w14:textId="77777777" w:rsidR="00A920DA" w:rsidRDefault="00C365DF">
      <w:r>
        <w:rPr>
          <w:noProof/>
        </w:rPr>
        <w:lastRenderedPageBreak/>
        <w:drawing>
          <wp:inline distT="0" distB="0" distL="0" distR="0" wp14:anchorId="3C11C183" wp14:editId="1039937D">
            <wp:extent cx="5274310" cy="3991610"/>
            <wp:effectExtent l="19050" t="0" r="2540" b="0"/>
            <wp:docPr id="10" name="图片 9" descr="二审案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二审案件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4127" w14:textId="77777777" w:rsidR="00A920DA" w:rsidRPr="00EC5BAA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EC5BAA">
        <w:rPr>
          <w:rFonts w:ascii="仿宋" w:eastAsia="仿宋" w:hAnsi="仿宋" w:hint="eastAsia"/>
          <w:b/>
          <w:sz w:val="30"/>
          <w:szCs w:val="30"/>
        </w:rPr>
        <w:t>（4）审判监督程序</w:t>
      </w:r>
    </w:p>
    <w:p w14:paraId="08A641D3" w14:textId="77777777" w:rsidR="00A920DA" w:rsidRPr="00204BB7" w:rsidRDefault="00C365DF" w:rsidP="00E1187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2016年审判监督程序审结案件135件</w:t>
      </w:r>
      <w:r w:rsidR="00346E77">
        <w:rPr>
          <w:rFonts w:ascii="仿宋" w:eastAsia="仿宋" w:hAnsi="仿宋" w:hint="eastAsia"/>
          <w:sz w:val="30"/>
          <w:szCs w:val="30"/>
        </w:rPr>
        <w:t>，因数量较少，本文不进行详细分析。</w:t>
      </w:r>
    </w:p>
    <w:p w14:paraId="6D37E828" w14:textId="77777777" w:rsidR="00346E77" w:rsidRPr="00EC5BAA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EC5BAA">
        <w:rPr>
          <w:rFonts w:ascii="仿宋" w:eastAsia="仿宋" w:hAnsi="仿宋" w:hint="eastAsia"/>
          <w:b/>
          <w:sz w:val="30"/>
          <w:szCs w:val="30"/>
        </w:rPr>
        <w:t>2.不同案由类型民事案件</w:t>
      </w:r>
    </w:p>
    <w:p w14:paraId="14D242B1" w14:textId="77777777" w:rsidR="00A920DA" w:rsidRDefault="00C365DF" w:rsidP="00FF741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4BB7">
        <w:rPr>
          <w:rFonts w:ascii="仿宋" w:eastAsia="仿宋" w:hAnsi="仿宋" w:hint="eastAsia"/>
          <w:sz w:val="30"/>
          <w:szCs w:val="30"/>
        </w:rPr>
        <w:t>案由不同难度有所差异，2016年结案数量排名前十</w:t>
      </w:r>
      <w:r w:rsidR="00232A84">
        <w:rPr>
          <w:rFonts w:ascii="仿宋" w:eastAsia="仿宋" w:hAnsi="仿宋" w:hint="eastAsia"/>
          <w:sz w:val="30"/>
          <w:szCs w:val="30"/>
        </w:rPr>
        <w:t>五</w:t>
      </w:r>
      <w:r w:rsidRPr="00204BB7">
        <w:rPr>
          <w:rFonts w:ascii="仿宋" w:eastAsia="仿宋" w:hAnsi="仿宋" w:hint="eastAsia"/>
          <w:sz w:val="30"/>
          <w:szCs w:val="30"/>
        </w:rPr>
        <w:t>位的案由平均审理天数如下表所示：</w:t>
      </w:r>
    </w:p>
    <w:p w14:paraId="61553307" w14:textId="77777777" w:rsidR="00AB6B3B" w:rsidRDefault="00AB6B3B" w:rsidP="00FF741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1C936C43" w14:textId="77777777" w:rsidR="00AB6B3B" w:rsidRDefault="00AB6B3B" w:rsidP="00FF741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EACFC36" w14:textId="77777777" w:rsidR="00AB6B3B" w:rsidRDefault="00AB6B3B" w:rsidP="00FF741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2D549476" w14:textId="77777777" w:rsidR="00106435" w:rsidRDefault="00106435" w:rsidP="0074118D">
      <w:pPr>
        <w:rPr>
          <w:rFonts w:ascii="仿宋" w:eastAsia="仿宋" w:hAnsi="仿宋"/>
          <w:sz w:val="30"/>
          <w:szCs w:val="30"/>
        </w:rPr>
      </w:pPr>
    </w:p>
    <w:p w14:paraId="20D03B7A" w14:textId="77777777" w:rsidR="00F96020" w:rsidRPr="00106435" w:rsidRDefault="00F96020" w:rsidP="0074118D">
      <w:pPr>
        <w:rPr>
          <w:rFonts w:ascii="仿宋" w:eastAsia="仿宋" w:hAnsi="仿宋"/>
          <w:sz w:val="30"/>
          <w:szCs w:val="30"/>
        </w:rPr>
      </w:pPr>
    </w:p>
    <w:p w14:paraId="6F866B2B" w14:textId="77777777" w:rsidR="00A920DA" w:rsidRPr="00EC5BAA" w:rsidRDefault="008D66DB" w:rsidP="00346E77">
      <w:pPr>
        <w:jc w:val="center"/>
        <w:rPr>
          <w:rFonts w:ascii="仿宋" w:eastAsia="仿宋" w:hAnsi="仿宋"/>
          <w:b/>
          <w:sz w:val="30"/>
          <w:szCs w:val="30"/>
        </w:rPr>
      </w:pPr>
      <w:r w:rsidRPr="00EC5BAA">
        <w:rPr>
          <w:rFonts w:ascii="仿宋" w:eastAsia="仿宋" w:hAnsi="仿宋" w:hint="eastAsia"/>
          <w:b/>
          <w:sz w:val="30"/>
          <w:szCs w:val="30"/>
        </w:rPr>
        <w:lastRenderedPageBreak/>
        <w:t>图表6</w:t>
      </w:r>
      <w:r w:rsidR="00C365DF" w:rsidRPr="00EC5BAA">
        <w:rPr>
          <w:rFonts w:ascii="仿宋" w:eastAsia="仿宋" w:hAnsi="仿宋" w:hint="eastAsia"/>
          <w:b/>
          <w:sz w:val="30"/>
          <w:szCs w:val="30"/>
        </w:rPr>
        <w:t>：吉林地区结案占比排名前1</w:t>
      </w:r>
      <w:r w:rsidRPr="00EC5BAA">
        <w:rPr>
          <w:rFonts w:ascii="仿宋" w:eastAsia="仿宋" w:hAnsi="仿宋" w:hint="eastAsia"/>
          <w:b/>
          <w:sz w:val="30"/>
          <w:szCs w:val="30"/>
        </w:rPr>
        <w:t>5</w:t>
      </w:r>
      <w:r w:rsidR="00C365DF" w:rsidRPr="00EC5BAA">
        <w:rPr>
          <w:rFonts w:ascii="仿宋" w:eastAsia="仿宋" w:hAnsi="仿宋" w:hint="eastAsia"/>
          <w:b/>
          <w:sz w:val="30"/>
          <w:szCs w:val="30"/>
        </w:rPr>
        <w:t>位案由案件平均审理天数</w:t>
      </w:r>
    </w:p>
    <w:p w14:paraId="12CA4523" w14:textId="77777777" w:rsidR="00A920DA" w:rsidRDefault="00FD36C9">
      <w:pPr>
        <w:ind w:firstLine="420"/>
      </w:pPr>
      <w:r>
        <w:rPr>
          <w:noProof/>
        </w:rPr>
        <w:drawing>
          <wp:inline distT="0" distB="0" distL="0" distR="0" wp14:anchorId="0BDBCE2C" wp14:editId="0A812476">
            <wp:extent cx="4972050" cy="4410075"/>
            <wp:effectExtent l="19050" t="0" r="0" b="0"/>
            <wp:docPr id="7" name="图片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1492" w14:textId="77777777" w:rsidR="00A920DA" w:rsidRDefault="003E6137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造成不同案由的平均审理天数不同的</w:t>
      </w:r>
      <w:r w:rsidR="00C365DF" w:rsidRPr="00204BB7">
        <w:rPr>
          <w:rFonts w:ascii="仿宋" w:eastAsia="仿宋" w:hAnsi="仿宋" w:hint="eastAsia"/>
          <w:sz w:val="30"/>
          <w:szCs w:val="30"/>
        </w:rPr>
        <w:t>主要</w:t>
      </w:r>
      <w:r w:rsidR="00DF001C" w:rsidRPr="00204BB7">
        <w:rPr>
          <w:rFonts w:ascii="仿宋" w:eastAsia="仿宋" w:hAnsi="仿宋" w:hint="eastAsia"/>
          <w:sz w:val="30"/>
          <w:szCs w:val="30"/>
        </w:rPr>
        <w:t>原因</w:t>
      </w:r>
      <w:r w:rsidR="00C365DF" w:rsidRPr="00204BB7">
        <w:rPr>
          <w:rFonts w:ascii="仿宋" w:eastAsia="仿宋" w:hAnsi="仿宋" w:hint="eastAsia"/>
          <w:sz w:val="30"/>
          <w:szCs w:val="30"/>
        </w:rPr>
        <w:t>在于案件的复杂程度，包括当事人之间矛盾大小，是否需要鉴定、现场踏查等手段认定事实，证据材料是否繁杂等原因。</w:t>
      </w:r>
    </w:p>
    <w:p w14:paraId="2DE12278" w14:textId="77777777" w:rsidR="0039144A" w:rsidRDefault="0039144A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30F43222" w14:textId="77777777" w:rsidR="0039144A" w:rsidRDefault="0039144A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23340258" w14:textId="77777777" w:rsidR="0039144A" w:rsidRDefault="0039144A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1D4AA218" w14:textId="77777777" w:rsidR="0039144A" w:rsidRDefault="0039144A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3392811" w14:textId="77777777" w:rsidR="0039144A" w:rsidRDefault="0039144A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2C2FA9A" w14:textId="77777777" w:rsidR="0039144A" w:rsidRDefault="0039144A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1D14CB67" w14:textId="77777777" w:rsidR="0074118D" w:rsidRPr="00204BB7" w:rsidRDefault="0074118D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1CBDFA5" w14:textId="77777777" w:rsidR="00A920DA" w:rsidRPr="00346E77" w:rsidRDefault="00C365DF" w:rsidP="008D66DB">
      <w:pPr>
        <w:jc w:val="center"/>
        <w:rPr>
          <w:rFonts w:ascii="仿宋" w:eastAsia="仿宋" w:hAnsi="仿宋"/>
          <w:b/>
          <w:sz w:val="30"/>
          <w:szCs w:val="30"/>
        </w:rPr>
      </w:pPr>
      <w:r w:rsidRPr="00346E77">
        <w:rPr>
          <w:rFonts w:ascii="仿宋" w:eastAsia="仿宋" w:hAnsi="仿宋" w:hint="eastAsia"/>
          <w:b/>
          <w:sz w:val="30"/>
          <w:szCs w:val="30"/>
        </w:rPr>
        <w:t>图</w:t>
      </w:r>
      <w:r w:rsidR="008D66DB" w:rsidRPr="00346E77">
        <w:rPr>
          <w:rFonts w:ascii="仿宋" w:eastAsia="仿宋" w:hAnsi="仿宋" w:hint="eastAsia"/>
          <w:b/>
          <w:sz w:val="30"/>
          <w:szCs w:val="30"/>
        </w:rPr>
        <w:t>表7</w:t>
      </w:r>
      <w:r w:rsidRPr="00346E77">
        <w:rPr>
          <w:rFonts w:ascii="仿宋" w:eastAsia="仿宋" w:hAnsi="仿宋" w:hint="eastAsia"/>
          <w:b/>
          <w:sz w:val="30"/>
          <w:szCs w:val="30"/>
        </w:rPr>
        <w:t>：吉林地区不同案由民事一审案件平均审理天数对比</w:t>
      </w:r>
    </w:p>
    <w:p w14:paraId="454FA3BE" w14:textId="77777777" w:rsidR="00A920DA" w:rsidRDefault="00C365DF">
      <w:pPr>
        <w:jc w:val="center"/>
      </w:pPr>
      <w:r>
        <w:rPr>
          <w:noProof/>
        </w:rPr>
        <w:drawing>
          <wp:inline distT="0" distB="0" distL="0" distR="0" wp14:anchorId="1760785E" wp14:editId="6AF67C26">
            <wp:extent cx="5274310" cy="336677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4991F5" w14:textId="77777777" w:rsidR="00A920DA" w:rsidRPr="00346E77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346E77">
        <w:rPr>
          <w:rFonts w:ascii="仿宋" w:eastAsia="仿宋" w:hAnsi="仿宋" w:hint="eastAsia"/>
          <w:b/>
          <w:sz w:val="30"/>
          <w:szCs w:val="30"/>
        </w:rPr>
        <w:t>3.不同月份结案民事案件</w:t>
      </w:r>
    </w:p>
    <w:p w14:paraId="707126FD" w14:textId="77777777" w:rsidR="00A920DA" w:rsidRPr="005141CB" w:rsidRDefault="00C365DF" w:rsidP="00346E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不同月份，民事案件的平均审理时间也有较大差别。</w:t>
      </w:r>
      <w:r w:rsidR="00FE6949">
        <w:rPr>
          <w:rFonts w:ascii="仿宋" w:eastAsia="仿宋" w:hAnsi="仿宋" w:hint="eastAsia"/>
          <w:sz w:val="30"/>
          <w:szCs w:val="30"/>
        </w:rPr>
        <w:t>平均审理天数和月结案数量呈</w:t>
      </w:r>
      <w:r w:rsidR="006D5530">
        <w:rPr>
          <w:rFonts w:ascii="仿宋" w:eastAsia="仿宋" w:hAnsi="仿宋" w:hint="eastAsia"/>
          <w:sz w:val="30"/>
          <w:szCs w:val="30"/>
        </w:rPr>
        <w:t>反相关的关系</w:t>
      </w:r>
      <w:r w:rsidR="00FB252C">
        <w:rPr>
          <w:rFonts w:ascii="仿宋" w:eastAsia="仿宋" w:hAnsi="仿宋" w:hint="eastAsia"/>
          <w:sz w:val="30"/>
          <w:szCs w:val="30"/>
        </w:rPr>
        <w:t>。</w:t>
      </w:r>
    </w:p>
    <w:p w14:paraId="3FF1A096" w14:textId="77777777" w:rsidR="00A920DA" w:rsidRPr="00346E77" w:rsidRDefault="008D66DB" w:rsidP="0017501B">
      <w:pPr>
        <w:jc w:val="center"/>
        <w:rPr>
          <w:rFonts w:ascii="仿宋" w:eastAsia="仿宋" w:hAnsi="仿宋"/>
          <w:b/>
          <w:sz w:val="30"/>
          <w:szCs w:val="30"/>
        </w:rPr>
      </w:pPr>
      <w:r w:rsidRPr="00346E77">
        <w:rPr>
          <w:rFonts w:ascii="仿宋" w:eastAsia="仿宋" w:hAnsi="仿宋" w:hint="eastAsia"/>
          <w:b/>
          <w:sz w:val="30"/>
          <w:szCs w:val="30"/>
        </w:rPr>
        <w:t>图表8：</w:t>
      </w:r>
      <w:r w:rsidR="0017501B" w:rsidRPr="00346E77">
        <w:rPr>
          <w:rFonts w:ascii="仿宋" w:eastAsia="仿宋" w:hAnsi="仿宋" w:hint="eastAsia"/>
          <w:b/>
          <w:sz w:val="30"/>
          <w:szCs w:val="30"/>
        </w:rPr>
        <w:t>2016年各月平均办理天数</w:t>
      </w:r>
      <w:r w:rsidR="004B0F48" w:rsidRPr="00346E77">
        <w:rPr>
          <w:rFonts w:ascii="仿宋" w:eastAsia="仿宋" w:hAnsi="仿宋" w:hint="eastAsia"/>
          <w:b/>
          <w:sz w:val="30"/>
          <w:szCs w:val="30"/>
        </w:rPr>
        <w:t>及结案数量</w:t>
      </w:r>
    </w:p>
    <w:p w14:paraId="33AA6AE4" w14:textId="77777777" w:rsidR="00A920DA" w:rsidRDefault="004B0F48">
      <w:pPr>
        <w:jc w:val="center"/>
      </w:pPr>
      <w:r w:rsidRPr="004B0F48">
        <w:rPr>
          <w:noProof/>
        </w:rPr>
        <w:lastRenderedPageBreak/>
        <w:drawing>
          <wp:inline distT="0" distB="0" distL="0" distR="0" wp14:anchorId="0D059B05" wp14:editId="2B18C0CC">
            <wp:extent cx="4572000" cy="27432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D382D9" w14:textId="77777777" w:rsidR="00A920DA" w:rsidRPr="00346E77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346E77">
        <w:rPr>
          <w:rFonts w:ascii="仿宋" w:eastAsia="仿宋" w:hAnsi="仿宋" w:hint="eastAsia"/>
          <w:b/>
          <w:sz w:val="30"/>
          <w:szCs w:val="30"/>
        </w:rPr>
        <w:t>（二）民事案件审理之外流转时间</w:t>
      </w:r>
    </w:p>
    <w:p w14:paraId="6C4F8663" w14:textId="77777777" w:rsidR="00A920DA" w:rsidRPr="005141CB" w:rsidRDefault="00C365DF" w:rsidP="00B01E2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案</w:t>
      </w:r>
      <w:r w:rsidR="006D5530">
        <w:rPr>
          <w:rFonts w:ascii="仿宋" w:eastAsia="仿宋" w:hAnsi="仿宋" w:hint="eastAsia"/>
          <w:sz w:val="30"/>
          <w:szCs w:val="30"/>
        </w:rPr>
        <w:t>件审理之外的流转时间，主要是指案件在不同审判程序之间移送的时间</w:t>
      </w:r>
      <w:r w:rsidRPr="005141CB">
        <w:rPr>
          <w:rFonts w:ascii="仿宋" w:eastAsia="仿宋" w:hAnsi="仿宋" w:hint="eastAsia"/>
          <w:sz w:val="30"/>
          <w:szCs w:val="30"/>
        </w:rPr>
        <w:t>。2016年</w:t>
      </w:r>
      <w:r w:rsidR="0039144A">
        <w:rPr>
          <w:rFonts w:ascii="仿宋" w:eastAsia="仿宋" w:hAnsi="仿宋" w:hint="eastAsia"/>
          <w:sz w:val="30"/>
          <w:szCs w:val="30"/>
        </w:rPr>
        <w:t>一审结案与二审立案时间差平均</w:t>
      </w:r>
      <w:r w:rsidRPr="005141CB">
        <w:rPr>
          <w:rFonts w:ascii="仿宋" w:eastAsia="仿宋" w:hAnsi="仿宋" w:hint="eastAsia"/>
          <w:sz w:val="30"/>
          <w:szCs w:val="30"/>
        </w:rPr>
        <w:t>70.30天，各基层法院平均时间差如图所示：</w:t>
      </w:r>
    </w:p>
    <w:p w14:paraId="41E36FB6" w14:textId="77777777" w:rsidR="00A920DA" w:rsidRPr="007F39ED" w:rsidRDefault="00B75AB6" w:rsidP="007F39ED">
      <w:pPr>
        <w:jc w:val="center"/>
        <w:rPr>
          <w:rFonts w:ascii="仿宋" w:eastAsia="仿宋" w:hAnsi="仿宋"/>
          <w:b/>
          <w:sz w:val="30"/>
          <w:szCs w:val="30"/>
        </w:rPr>
      </w:pPr>
      <w:r w:rsidRPr="007F39ED">
        <w:rPr>
          <w:rFonts w:ascii="仿宋" w:eastAsia="仿宋" w:hAnsi="仿宋" w:hint="eastAsia"/>
          <w:b/>
          <w:sz w:val="30"/>
          <w:szCs w:val="30"/>
        </w:rPr>
        <w:t>图表9</w:t>
      </w:r>
      <w:r w:rsidR="00C365DF" w:rsidRPr="007F39ED">
        <w:rPr>
          <w:rFonts w:ascii="仿宋" w:eastAsia="仿宋" w:hAnsi="仿宋" w:hint="eastAsia"/>
          <w:b/>
          <w:sz w:val="30"/>
          <w:szCs w:val="30"/>
        </w:rPr>
        <w:t>：2016年吉林地区一审结案与二审立案</w:t>
      </w:r>
      <w:r w:rsidRPr="007F39ED">
        <w:rPr>
          <w:rFonts w:ascii="仿宋" w:eastAsia="仿宋" w:hAnsi="仿宋" w:hint="eastAsia"/>
          <w:b/>
          <w:sz w:val="30"/>
          <w:szCs w:val="30"/>
        </w:rPr>
        <w:t>平均</w:t>
      </w:r>
      <w:r w:rsidR="00C365DF" w:rsidRPr="007F39ED">
        <w:rPr>
          <w:rFonts w:ascii="仿宋" w:eastAsia="仿宋" w:hAnsi="仿宋" w:hint="eastAsia"/>
          <w:b/>
          <w:sz w:val="30"/>
          <w:szCs w:val="30"/>
        </w:rPr>
        <w:t>时间差</w:t>
      </w:r>
    </w:p>
    <w:p w14:paraId="4D417AC0" w14:textId="77777777" w:rsidR="00A920DA" w:rsidRDefault="00FD36C9" w:rsidP="00FD36C9">
      <w:pPr>
        <w:ind w:firstLineChars="200" w:firstLine="420"/>
        <w:jc w:val="center"/>
      </w:pPr>
      <w:r>
        <w:rPr>
          <w:noProof/>
        </w:rPr>
        <w:drawing>
          <wp:inline distT="0" distB="0" distL="0" distR="0" wp14:anchorId="6FA90B80" wp14:editId="432B32F3">
            <wp:extent cx="2905125" cy="3390900"/>
            <wp:effectExtent l="19050" t="0" r="9525" b="0"/>
            <wp:docPr id="9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EE539" w14:textId="77777777" w:rsidR="00076EFE" w:rsidRDefault="00C365DF" w:rsidP="006D553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全部2859个案件</w:t>
      </w:r>
      <w:r w:rsidR="00A72298">
        <w:rPr>
          <w:rFonts w:ascii="仿宋" w:eastAsia="仿宋" w:hAnsi="仿宋" w:hint="eastAsia"/>
          <w:sz w:val="30"/>
          <w:szCs w:val="30"/>
        </w:rPr>
        <w:t>中</w:t>
      </w:r>
      <w:r w:rsidRPr="005141CB">
        <w:rPr>
          <w:rFonts w:ascii="仿宋" w:eastAsia="仿宋" w:hAnsi="仿宋" w:hint="eastAsia"/>
          <w:sz w:val="30"/>
          <w:szCs w:val="30"/>
        </w:rPr>
        <w:t>只有387件一审案件能够在30天内移</w:t>
      </w:r>
      <w:r w:rsidRPr="005141CB">
        <w:rPr>
          <w:rFonts w:ascii="仿宋" w:eastAsia="仿宋" w:hAnsi="仿宋" w:hint="eastAsia"/>
          <w:sz w:val="30"/>
          <w:szCs w:val="30"/>
        </w:rPr>
        <w:lastRenderedPageBreak/>
        <w:t>送二审法院立案，一半以上案件（1656件）能够在结案后60天内移送二审法院立案，大多数案件（81.60%）能够在90天内移送二审法院立案。甚至有82个案件超过180天才移送二审法院立案。</w:t>
      </w:r>
      <w:r w:rsidRPr="005141CB">
        <w:rPr>
          <w:rFonts w:ascii="仿宋" w:eastAsia="仿宋" w:hAnsi="仿宋"/>
          <w:sz w:val="30"/>
          <w:szCs w:val="30"/>
        </w:rPr>
        <w:t xml:space="preserve"> </w:t>
      </w:r>
    </w:p>
    <w:p w14:paraId="2A7CB4DE" w14:textId="77777777" w:rsidR="0074118D" w:rsidRDefault="0074118D" w:rsidP="006D553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D33777A" w14:textId="77777777" w:rsidR="0074118D" w:rsidRDefault="0074118D" w:rsidP="006D553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A7B3A19" w14:textId="77777777" w:rsidR="0074118D" w:rsidRDefault="0074118D" w:rsidP="006D553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34707C18" w14:textId="77777777" w:rsidR="0074118D" w:rsidRDefault="0074118D" w:rsidP="006D553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A55623C" w14:textId="77777777" w:rsidR="0074118D" w:rsidRPr="005141CB" w:rsidRDefault="0074118D" w:rsidP="006D553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18A67682" w14:textId="77777777" w:rsidR="00A920DA" w:rsidRPr="00076EFE" w:rsidRDefault="00C365DF" w:rsidP="007F39ED">
      <w:pPr>
        <w:jc w:val="center"/>
        <w:rPr>
          <w:rFonts w:ascii="仿宋" w:eastAsia="仿宋" w:hAnsi="仿宋"/>
          <w:b/>
          <w:sz w:val="30"/>
          <w:szCs w:val="30"/>
        </w:rPr>
      </w:pPr>
      <w:r w:rsidRPr="00076EFE">
        <w:rPr>
          <w:rFonts w:ascii="仿宋" w:eastAsia="仿宋" w:hAnsi="仿宋" w:hint="eastAsia"/>
          <w:b/>
          <w:sz w:val="30"/>
          <w:szCs w:val="30"/>
        </w:rPr>
        <w:t>图表</w:t>
      </w:r>
      <w:r w:rsidR="00B75AB6" w:rsidRPr="00076EFE">
        <w:rPr>
          <w:rFonts w:ascii="仿宋" w:eastAsia="仿宋" w:hAnsi="仿宋" w:hint="eastAsia"/>
          <w:b/>
          <w:sz w:val="30"/>
          <w:szCs w:val="30"/>
        </w:rPr>
        <w:t>10</w:t>
      </w:r>
      <w:r w:rsidRPr="00076EFE">
        <w:rPr>
          <w:rFonts w:ascii="仿宋" w:eastAsia="仿宋" w:hAnsi="仿宋" w:hint="eastAsia"/>
          <w:b/>
          <w:sz w:val="30"/>
          <w:szCs w:val="30"/>
        </w:rPr>
        <w:t>：民事一审案件一审结案与二审立案时间差直方图</w:t>
      </w:r>
    </w:p>
    <w:p w14:paraId="451D237B" w14:textId="77777777" w:rsidR="00A920DA" w:rsidRDefault="00C365DF">
      <w:pPr>
        <w:ind w:firstLineChars="200" w:firstLine="420"/>
        <w:jc w:val="left"/>
      </w:pPr>
      <w:r>
        <w:rPr>
          <w:noProof/>
        </w:rPr>
        <w:drawing>
          <wp:inline distT="0" distB="0" distL="0" distR="0" wp14:anchorId="6B4E5B15" wp14:editId="3809276B">
            <wp:extent cx="5274310" cy="4674235"/>
            <wp:effectExtent l="19050" t="0" r="2540" b="0"/>
            <wp:docPr id="6" name="图片 5" descr="一审结案和二审立案时间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一审结案和二审立案时间差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FFC0" w14:textId="77777777" w:rsidR="00A920DA" w:rsidRPr="005141CB" w:rsidRDefault="00C365DF" w:rsidP="007F39E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lastRenderedPageBreak/>
        <w:t xml:space="preserve">根据《最高人民法院关于严格执行案件审理期限制度的若干规定》及《民事诉讼法》的相关条款，有明确规定的审理之外的一、二审流转时间为50天以内，如果对方当事人不提出答辩状的话是45天，但是很多案件都超过了这个规定。  </w:t>
      </w:r>
    </w:p>
    <w:p w14:paraId="7DEE28F6" w14:textId="77777777" w:rsidR="005F403B" w:rsidRPr="00AD1BA8" w:rsidRDefault="005F403B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7F39ED">
        <w:rPr>
          <w:rFonts w:ascii="仿宋" w:eastAsia="仿宋" w:hAnsi="仿宋" w:hint="eastAsia"/>
          <w:b/>
          <w:sz w:val="30"/>
          <w:szCs w:val="30"/>
        </w:rPr>
        <w:t>二</w:t>
      </w:r>
      <w:r w:rsidRPr="00AD1BA8">
        <w:rPr>
          <w:rFonts w:ascii="仿宋" w:eastAsia="仿宋" w:hAnsi="仿宋" w:hint="eastAsia"/>
          <w:b/>
          <w:sz w:val="30"/>
          <w:szCs w:val="30"/>
        </w:rPr>
        <w:t>、影响案件流转周期的因素</w:t>
      </w:r>
    </w:p>
    <w:p w14:paraId="34A658C2" w14:textId="77777777" w:rsidR="005F403B" w:rsidRPr="00AD1BA8" w:rsidRDefault="005F403B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（一）影响案件审理周期因素</w:t>
      </w:r>
    </w:p>
    <w:p w14:paraId="6CA7D9D3" w14:textId="77777777" w:rsidR="00CA59D3" w:rsidRPr="00A66ADE" w:rsidRDefault="00C365DF" w:rsidP="00A66AD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庭审可以作为衡量法官工作时间的分水岭。2016年吉林地区一审案件中，未开庭即结案的数量为6447件，1次开庭为18172件，两次及以上开庭为4972件。</w:t>
      </w:r>
    </w:p>
    <w:p w14:paraId="7E5C5B33" w14:textId="77777777" w:rsidR="00A920DA" w:rsidRPr="007F39ED" w:rsidRDefault="00C365DF" w:rsidP="007F39ED">
      <w:pPr>
        <w:jc w:val="center"/>
        <w:rPr>
          <w:rFonts w:ascii="仿宋" w:eastAsia="仿宋" w:hAnsi="仿宋"/>
          <w:b/>
          <w:sz w:val="30"/>
          <w:szCs w:val="30"/>
        </w:rPr>
      </w:pPr>
      <w:r w:rsidRPr="007F39ED">
        <w:rPr>
          <w:rFonts w:ascii="仿宋" w:eastAsia="仿宋" w:hAnsi="仿宋" w:hint="eastAsia"/>
          <w:b/>
          <w:sz w:val="30"/>
          <w:szCs w:val="30"/>
        </w:rPr>
        <w:t>图表</w:t>
      </w:r>
      <w:r w:rsidR="00B75AB6" w:rsidRPr="007F39ED">
        <w:rPr>
          <w:rFonts w:ascii="仿宋" w:eastAsia="仿宋" w:hAnsi="仿宋" w:hint="eastAsia"/>
          <w:b/>
          <w:sz w:val="30"/>
          <w:szCs w:val="30"/>
        </w:rPr>
        <w:t>11</w:t>
      </w:r>
      <w:r w:rsidRPr="007F39ED">
        <w:rPr>
          <w:rFonts w:ascii="仿宋" w:eastAsia="仿宋" w:hAnsi="仿宋" w:hint="eastAsia"/>
          <w:b/>
          <w:sz w:val="30"/>
          <w:szCs w:val="30"/>
        </w:rPr>
        <w:t>：2016年吉林地区一审民事案件开庭数量统计</w:t>
      </w:r>
    </w:p>
    <w:p w14:paraId="3823B4EE" w14:textId="77777777" w:rsidR="00A920DA" w:rsidRDefault="00C365DF">
      <w:pPr>
        <w:ind w:firstLineChars="200" w:firstLine="420"/>
      </w:pPr>
      <w:r>
        <w:rPr>
          <w:noProof/>
        </w:rPr>
        <w:drawing>
          <wp:inline distT="0" distB="0" distL="0" distR="0" wp14:anchorId="523A1833" wp14:editId="19BF3EB0">
            <wp:extent cx="4572000" cy="27432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CE0DC9C" w14:textId="77777777" w:rsidR="00A920DA" w:rsidRPr="005141CB" w:rsidRDefault="00C365DF" w:rsidP="007F39E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根据第一次开庭前阶段和后阶段的用时</w:t>
      </w:r>
      <w:r w:rsidRPr="00E519B0">
        <w:rPr>
          <w:rStyle w:val="ab"/>
          <w:rFonts w:ascii="黑体" w:eastAsia="黑体" w:hAnsi="黑体"/>
          <w:sz w:val="36"/>
          <w:szCs w:val="36"/>
        </w:rPr>
        <w:footnoteReference w:id="2"/>
      </w:r>
      <w:r w:rsidRPr="005141CB">
        <w:rPr>
          <w:rFonts w:ascii="仿宋" w:eastAsia="仿宋" w:hAnsi="仿宋" w:hint="eastAsia"/>
          <w:sz w:val="30"/>
          <w:szCs w:val="30"/>
        </w:rPr>
        <w:t>来看，第一次开庭之前比之后用时短的案件为多数，大部分案件在第一次庭审之前</w:t>
      </w:r>
      <w:r w:rsidRPr="005141CB">
        <w:rPr>
          <w:rFonts w:ascii="仿宋" w:eastAsia="仿宋" w:hAnsi="仿宋" w:hint="eastAsia"/>
          <w:sz w:val="30"/>
          <w:szCs w:val="30"/>
        </w:rPr>
        <w:lastRenderedPageBreak/>
        <w:t>工作集中在阅卷、排期、送达等庭前准备</w:t>
      </w:r>
      <w:r w:rsidR="00A921F2">
        <w:rPr>
          <w:rFonts w:ascii="仿宋" w:eastAsia="仿宋" w:hAnsi="仿宋" w:hint="eastAsia"/>
          <w:sz w:val="30"/>
          <w:szCs w:val="30"/>
        </w:rPr>
        <w:t>活动</w:t>
      </w:r>
      <w:r w:rsidRPr="005141CB">
        <w:rPr>
          <w:rFonts w:ascii="仿宋" w:eastAsia="仿宋" w:hAnsi="仿宋" w:hint="eastAsia"/>
          <w:sz w:val="30"/>
          <w:szCs w:val="30"/>
        </w:rPr>
        <w:t>，</w:t>
      </w:r>
      <w:r w:rsidR="00A66ADE">
        <w:rPr>
          <w:rFonts w:ascii="仿宋" w:eastAsia="仿宋" w:hAnsi="仿宋" w:hint="eastAsia"/>
          <w:sz w:val="30"/>
          <w:szCs w:val="30"/>
        </w:rPr>
        <w:t>除</w:t>
      </w:r>
      <w:r w:rsidRPr="005141CB">
        <w:rPr>
          <w:rFonts w:ascii="仿宋" w:eastAsia="仿宋" w:hAnsi="仿宋" w:hint="eastAsia"/>
          <w:sz w:val="30"/>
          <w:szCs w:val="30"/>
        </w:rPr>
        <w:t>部分重大疑难复杂案件外，多数民事案件不会召开庭前会议，诉讼参与人是在第一次庭审之后才真正进入诉讼状态，</w:t>
      </w:r>
      <w:r w:rsidR="00831BCC">
        <w:rPr>
          <w:rFonts w:ascii="仿宋" w:eastAsia="仿宋" w:hAnsi="仿宋" w:hint="eastAsia"/>
          <w:sz w:val="30"/>
          <w:szCs w:val="30"/>
        </w:rPr>
        <w:t>而且</w:t>
      </w:r>
      <w:r w:rsidRPr="005141CB">
        <w:rPr>
          <w:rFonts w:ascii="仿宋" w:eastAsia="仿宋" w:hAnsi="仿宋" w:hint="eastAsia"/>
          <w:sz w:val="30"/>
          <w:szCs w:val="30"/>
        </w:rPr>
        <w:t>法庭辩论结束前原告可以增加诉讼请求、被告可以提出反诉，第三人也可以提出和本案有关的诉讼请求，法庭上当事人也可以继续举证、向法庭申请调取证据或者申请鉴定，很多案件在第一次庭审</w:t>
      </w:r>
      <w:r w:rsidR="00517570">
        <w:rPr>
          <w:rFonts w:ascii="仿宋" w:eastAsia="仿宋" w:hAnsi="仿宋" w:hint="eastAsia"/>
          <w:sz w:val="30"/>
          <w:szCs w:val="30"/>
        </w:rPr>
        <w:t>后诉请和证据才相对固定。因此开庭</w:t>
      </w:r>
      <w:r w:rsidRPr="005141CB">
        <w:rPr>
          <w:rFonts w:ascii="仿宋" w:eastAsia="仿宋" w:hAnsi="仿宋" w:hint="eastAsia"/>
          <w:sz w:val="30"/>
          <w:szCs w:val="30"/>
        </w:rPr>
        <w:t>前工作主要是事务和程序性为主，而庭审后</w:t>
      </w:r>
      <w:r w:rsidR="003D7D15">
        <w:rPr>
          <w:rFonts w:ascii="仿宋" w:eastAsia="仿宋" w:hAnsi="仿宋" w:hint="eastAsia"/>
          <w:sz w:val="30"/>
          <w:szCs w:val="30"/>
        </w:rPr>
        <w:t>以</w:t>
      </w:r>
      <w:r w:rsidRPr="005141CB">
        <w:rPr>
          <w:rFonts w:ascii="仿宋" w:eastAsia="仿宋" w:hAnsi="仿宋" w:hint="eastAsia"/>
          <w:sz w:val="30"/>
          <w:szCs w:val="30"/>
        </w:rPr>
        <w:t>核心性和实体性为主。</w:t>
      </w:r>
    </w:p>
    <w:p w14:paraId="697C37D1" w14:textId="77777777" w:rsidR="00A920DA" w:rsidRPr="005141CB" w:rsidRDefault="00C365DF" w:rsidP="007F39E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在审判实践中，具有流程管控意义的节点如果存在问题将直接导致案件效率的降低：</w:t>
      </w:r>
    </w:p>
    <w:p w14:paraId="5D764363" w14:textId="77777777" w:rsidR="007F39ED" w:rsidRDefault="005F403B" w:rsidP="00A90BE4">
      <w:pPr>
        <w:ind w:firstLineChars="200" w:firstLine="649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</w:t>
      </w:r>
      <w:r w:rsidR="00C365DF" w:rsidRPr="007F39ED">
        <w:rPr>
          <w:rFonts w:ascii="仿宋" w:eastAsia="仿宋" w:hAnsi="仿宋" w:hint="eastAsia"/>
          <w:b/>
          <w:sz w:val="30"/>
          <w:szCs w:val="30"/>
        </w:rPr>
        <w:t>送达</w:t>
      </w:r>
    </w:p>
    <w:p w14:paraId="1D040D7A" w14:textId="77777777" w:rsidR="00A920DA" w:rsidRPr="007F39ED" w:rsidRDefault="00C365DF" w:rsidP="007F39ED">
      <w:pPr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送达一直是法院的老大难问题，而穷尽直接送达、留置送达、委托送达等方式之</w:t>
      </w:r>
      <w:r w:rsidR="003D7D15">
        <w:rPr>
          <w:rFonts w:ascii="仿宋" w:eastAsia="仿宋" w:hAnsi="仿宋" w:hint="eastAsia"/>
          <w:sz w:val="30"/>
          <w:szCs w:val="30"/>
        </w:rPr>
        <w:t>后</w:t>
      </w:r>
      <w:r w:rsidRPr="005141CB">
        <w:rPr>
          <w:rFonts w:ascii="仿宋" w:eastAsia="仿宋" w:hAnsi="仿宋" w:hint="eastAsia"/>
          <w:sz w:val="30"/>
          <w:szCs w:val="30"/>
        </w:rPr>
        <w:t>则需通过公告送达，</w:t>
      </w:r>
      <w:r w:rsidR="003A1140">
        <w:rPr>
          <w:rFonts w:ascii="仿宋" w:eastAsia="仿宋" w:hAnsi="仿宋" w:hint="eastAsia"/>
          <w:sz w:val="30"/>
          <w:szCs w:val="30"/>
        </w:rPr>
        <w:t>虽然公告期</w:t>
      </w:r>
      <w:r w:rsidRPr="005141CB">
        <w:rPr>
          <w:rFonts w:ascii="仿宋" w:eastAsia="仿宋" w:hAnsi="仿宋" w:hint="eastAsia"/>
          <w:sz w:val="30"/>
          <w:szCs w:val="30"/>
        </w:rPr>
        <w:t>可以在审限扣除，但也耗费了一部分审理时间。</w:t>
      </w:r>
    </w:p>
    <w:p w14:paraId="3F85B300" w14:textId="77777777" w:rsidR="007F39ED" w:rsidRDefault="005F403B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2.</w:t>
      </w:r>
      <w:r w:rsidR="00C365DF" w:rsidRPr="007F39ED">
        <w:rPr>
          <w:rFonts w:ascii="仿宋" w:eastAsia="仿宋" w:hAnsi="仿宋" w:hint="eastAsia"/>
          <w:b/>
          <w:sz w:val="30"/>
          <w:szCs w:val="30"/>
        </w:rPr>
        <w:t>庭审</w:t>
      </w:r>
    </w:p>
    <w:p w14:paraId="0730CAE4" w14:textId="77777777" w:rsidR="00A920DA" w:rsidRPr="007F39ED" w:rsidRDefault="00C365DF" w:rsidP="007F39ED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庭审作为审判核心</w:t>
      </w:r>
      <w:r w:rsidR="00DF7C8C">
        <w:rPr>
          <w:rFonts w:ascii="仿宋" w:eastAsia="仿宋" w:hAnsi="仿宋" w:hint="eastAsia"/>
          <w:sz w:val="30"/>
          <w:szCs w:val="30"/>
        </w:rPr>
        <w:t>之一</w:t>
      </w:r>
      <w:r w:rsidRPr="005141CB">
        <w:rPr>
          <w:rFonts w:ascii="仿宋" w:eastAsia="仿宋" w:hAnsi="仿宋" w:hint="eastAsia"/>
          <w:sz w:val="30"/>
          <w:szCs w:val="30"/>
        </w:rPr>
        <w:t>，</w:t>
      </w:r>
      <w:r w:rsidR="00AF7A00">
        <w:rPr>
          <w:rFonts w:ascii="仿宋" w:eastAsia="仿宋" w:hAnsi="仿宋" w:hint="eastAsia"/>
          <w:sz w:val="30"/>
          <w:szCs w:val="30"/>
        </w:rPr>
        <w:t>其</w:t>
      </w:r>
      <w:r w:rsidRPr="005141CB">
        <w:rPr>
          <w:rFonts w:ascii="仿宋" w:eastAsia="仿宋" w:hAnsi="仿宋" w:hint="eastAsia"/>
          <w:sz w:val="30"/>
          <w:szCs w:val="30"/>
        </w:rPr>
        <w:t>质效高低直接决定案件水平，</w:t>
      </w:r>
      <w:r w:rsidR="00536643">
        <w:rPr>
          <w:rFonts w:ascii="仿宋" w:eastAsia="仿宋" w:hAnsi="仿宋" w:hint="eastAsia"/>
          <w:sz w:val="30"/>
          <w:szCs w:val="30"/>
        </w:rPr>
        <w:t>2016年</w:t>
      </w:r>
      <w:r w:rsidR="00DF7C8C">
        <w:rPr>
          <w:rFonts w:ascii="仿宋" w:eastAsia="仿宋" w:hAnsi="仿宋" w:hint="eastAsia"/>
          <w:sz w:val="30"/>
          <w:szCs w:val="30"/>
        </w:rPr>
        <w:t>吉林地区</w:t>
      </w:r>
      <w:r w:rsidRPr="005141CB">
        <w:rPr>
          <w:rFonts w:ascii="仿宋" w:eastAsia="仿宋" w:hAnsi="仿宋" w:hint="eastAsia"/>
          <w:sz w:val="30"/>
          <w:szCs w:val="30"/>
        </w:rPr>
        <w:t>开庭案件中有21.48%开庭2次或以上，</w:t>
      </w:r>
      <w:r w:rsidR="00536643">
        <w:rPr>
          <w:rFonts w:ascii="仿宋" w:eastAsia="仿宋" w:hAnsi="仿宋" w:hint="eastAsia"/>
          <w:sz w:val="30"/>
          <w:szCs w:val="30"/>
        </w:rPr>
        <w:t>简易程序案件也有7.58%开庭2次或以上。</w:t>
      </w:r>
      <w:r w:rsidR="00066B39">
        <w:rPr>
          <w:rFonts w:ascii="仿宋" w:eastAsia="仿宋" w:hAnsi="仿宋" w:hint="eastAsia"/>
          <w:sz w:val="30"/>
          <w:szCs w:val="30"/>
        </w:rPr>
        <w:t>既</w:t>
      </w:r>
      <w:r w:rsidRPr="005141CB">
        <w:rPr>
          <w:rFonts w:ascii="仿宋" w:eastAsia="仿宋" w:hAnsi="仿宋" w:hint="eastAsia"/>
          <w:sz w:val="30"/>
          <w:szCs w:val="30"/>
        </w:rPr>
        <w:t>耗费了司法资源也增加了审理时间，</w:t>
      </w:r>
      <w:r w:rsidR="00C10662">
        <w:rPr>
          <w:rFonts w:ascii="仿宋" w:eastAsia="仿宋" w:hAnsi="仿宋" w:hint="eastAsia"/>
          <w:sz w:val="30"/>
          <w:szCs w:val="30"/>
        </w:rPr>
        <w:t>这</w:t>
      </w:r>
      <w:r w:rsidRPr="005141CB">
        <w:rPr>
          <w:rFonts w:ascii="仿宋" w:eastAsia="仿宋" w:hAnsi="仿宋" w:hint="eastAsia"/>
          <w:sz w:val="30"/>
          <w:szCs w:val="30"/>
        </w:rPr>
        <w:t>和法官庭前准备不充分，争点不清盲目开庭有关。另外，也存在不同审级案件庭审同质化</w:t>
      </w:r>
      <w:r w:rsidR="00C10662">
        <w:rPr>
          <w:rFonts w:ascii="仿宋" w:eastAsia="仿宋" w:hAnsi="仿宋" w:hint="eastAsia"/>
          <w:sz w:val="30"/>
          <w:szCs w:val="30"/>
        </w:rPr>
        <w:t>、</w:t>
      </w:r>
      <w:r w:rsidRPr="005141CB">
        <w:rPr>
          <w:rFonts w:ascii="仿宋" w:eastAsia="仿宋" w:hAnsi="仿宋" w:hint="eastAsia"/>
          <w:sz w:val="30"/>
          <w:szCs w:val="30"/>
        </w:rPr>
        <w:t>重点不突出导致的</w:t>
      </w:r>
      <w:r w:rsidR="00066B39" w:rsidRPr="005141CB">
        <w:rPr>
          <w:rFonts w:ascii="仿宋" w:eastAsia="仿宋" w:hAnsi="仿宋" w:hint="eastAsia"/>
          <w:sz w:val="30"/>
          <w:szCs w:val="30"/>
        </w:rPr>
        <w:t>低</w:t>
      </w:r>
      <w:r w:rsidRPr="005141CB">
        <w:rPr>
          <w:rFonts w:ascii="仿宋" w:eastAsia="仿宋" w:hAnsi="仿宋" w:hint="eastAsia"/>
          <w:sz w:val="30"/>
          <w:szCs w:val="30"/>
        </w:rPr>
        <w:t>效率。</w:t>
      </w:r>
    </w:p>
    <w:p w14:paraId="75E42FAB" w14:textId="77777777" w:rsidR="007F39ED" w:rsidRDefault="005F403B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</w:t>
      </w:r>
      <w:r w:rsidR="00C365DF" w:rsidRPr="007F39ED">
        <w:rPr>
          <w:rFonts w:ascii="仿宋" w:eastAsia="仿宋" w:hAnsi="仿宋" w:hint="eastAsia"/>
          <w:b/>
          <w:sz w:val="30"/>
          <w:szCs w:val="30"/>
        </w:rPr>
        <w:t>鉴定</w:t>
      </w:r>
    </w:p>
    <w:p w14:paraId="4E059EB8" w14:textId="77777777" w:rsidR="00A920DA" w:rsidRPr="00855BB0" w:rsidRDefault="00C365DF" w:rsidP="007F39ED">
      <w:pPr>
        <w:ind w:firstLineChars="200" w:firstLine="600"/>
        <w:rPr>
          <w:rStyle w:val="ab"/>
          <w:rFonts w:ascii="黑体" w:eastAsia="黑体" w:hAnsi="黑体"/>
          <w:sz w:val="36"/>
          <w:szCs w:val="36"/>
        </w:rPr>
      </w:pPr>
      <w:r w:rsidRPr="005141CB">
        <w:rPr>
          <w:rFonts w:ascii="仿宋" w:eastAsia="仿宋" w:hAnsi="仿宋" w:hint="eastAsia"/>
          <w:sz w:val="30"/>
          <w:szCs w:val="30"/>
        </w:rPr>
        <w:lastRenderedPageBreak/>
        <w:t>虽然鉴定用时能够在审限中扣除，但是因为鉴定耗时较长，法院委托到鉴定机构后，缺乏相应的控制手段，再加上部分当事人恶意拖延，也导致了鉴定久拖不决。根据统计，有相当一部分的长期未结案件是因为鉴定导致的。</w:t>
      </w:r>
      <w:r w:rsidR="00B43D29" w:rsidRPr="00855BB0">
        <w:rPr>
          <w:rStyle w:val="ab"/>
          <w:rFonts w:ascii="黑体" w:eastAsia="黑体" w:hAnsi="黑体"/>
          <w:sz w:val="36"/>
          <w:szCs w:val="36"/>
        </w:rPr>
        <w:footnoteReference w:id="3"/>
      </w:r>
    </w:p>
    <w:p w14:paraId="48A6CC63" w14:textId="77777777" w:rsidR="00A920DA" w:rsidRDefault="00C365DF" w:rsidP="00AD1BA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根据上文分析，可能影响审理周期的相关因素如图所示：</w:t>
      </w:r>
    </w:p>
    <w:p w14:paraId="41FBE01C" w14:textId="77777777" w:rsidR="00FD36C9" w:rsidRDefault="00FD36C9" w:rsidP="00AD1BA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76D16C75" w14:textId="77777777" w:rsidR="00FD36C9" w:rsidRDefault="00FD36C9" w:rsidP="00AD1BA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B3ABFFC" w14:textId="77777777" w:rsidR="00FD36C9" w:rsidRPr="00043C9A" w:rsidRDefault="00FD36C9" w:rsidP="00043C9A">
      <w:pPr>
        <w:rPr>
          <w:rFonts w:ascii="仿宋" w:eastAsia="仿宋" w:hAnsi="仿宋"/>
          <w:sz w:val="30"/>
          <w:szCs w:val="30"/>
        </w:rPr>
      </w:pPr>
    </w:p>
    <w:p w14:paraId="77E40D92" w14:textId="77777777" w:rsidR="00A920DA" w:rsidRPr="00CA59D3" w:rsidRDefault="00B75AB6" w:rsidP="00CA59D3">
      <w:pPr>
        <w:jc w:val="center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图表12</w:t>
      </w:r>
      <w:r w:rsidR="00C365DF" w:rsidRPr="00AD1BA8">
        <w:rPr>
          <w:rFonts w:ascii="仿宋" w:eastAsia="仿宋" w:hAnsi="仿宋" w:hint="eastAsia"/>
          <w:b/>
          <w:sz w:val="30"/>
          <w:szCs w:val="30"/>
        </w:rPr>
        <w:t>：民事一审案件平均审理天数与相关因素</w:t>
      </w:r>
    </w:p>
    <w:p w14:paraId="02E990E1" w14:textId="77777777" w:rsidR="00656619" w:rsidRDefault="00FD36C9" w:rsidP="00656619">
      <w:pPr>
        <w:ind w:left="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 wp14:anchorId="58D49777" wp14:editId="6EC38C8A">
            <wp:extent cx="5274310" cy="2806700"/>
            <wp:effectExtent l="19050" t="0" r="2540" b="0"/>
            <wp:docPr id="11" name="图片 1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7BE83" w14:textId="77777777" w:rsidR="00A920DA" w:rsidRDefault="00C365DF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  <w:r w:rsidRPr="005141CB">
        <w:rPr>
          <w:rFonts w:ascii="仿宋" w:eastAsia="仿宋" w:hAnsi="仿宋" w:hint="eastAsia"/>
          <w:sz w:val="30"/>
          <w:szCs w:val="30"/>
        </w:rPr>
        <w:t>通过</w:t>
      </w:r>
      <w:r w:rsidR="00A92A50">
        <w:rPr>
          <w:rFonts w:ascii="仿宋" w:eastAsia="仿宋" w:hAnsi="仿宋" w:hint="eastAsia"/>
          <w:sz w:val="30"/>
          <w:szCs w:val="30"/>
        </w:rPr>
        <w:t>第一次</w:t>
      </w:r>
      <w:r w:rsidRPr="005141CB">
        <w:rPr>
          <w:rFonts w:ascii="仿宋" w:eastAsia="仿宋" w:hAnsi="仿宋" w:hint="eastAsia"/>
          <w:sz w:val="30"/>
          <w:szCs w:val="30"/>
        </w:rPr>
        <w:t>SPSS线性回归检验，</w:t>
      </w:r>
      <w:r w:rsidR="00A92A50">
        <w:rPr>
          <w:rFonts w:ascii="仿宋" w:eastAsia="仿宋" w:hAnsi="仿宋" w:hint="eastAsia"/>
          <w:sz w:val="30"/>
          <w:szCs w:val="30"/>
        </w:rPr>
        <w:t>发现</w:t>
      </w:r>
      <w:r w:rsidRPr="00232F3B">
        <w:rPr>
          <w:rFonts w:ascii="仿宋" w:eastAsia="仿宋" w:hAnsi="仿宋" w:hint="eastAsia"/>
          <w:sz w:val="30"/>
          <w:szCs w:val="30"/>
        </w:rPr>
        <w:t>结案率、人均结案数、调撤率这几个自变量与因变量并未显著相关，剔除后，以平均审理天数为因变量，简易程序适用率、审限内结案率为自变量，继续SPSS线性回归检验，得到如下结果：</w:t>
      </w:r>
    </w:p>
    <w:p w14:paraId="080478F8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2EA17040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025C1CE6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22CD4846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385A590F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7D1764B2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057EEF1D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71A7D51E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4EA7D8D5" w14:textId="77777777" w:rsidR="00043C9A" w:rsidRDefault="00043C9A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183643D0" w14:textId="77777777" w:rsidR="0074118D" w:rsidRPr="00232F3B" w:rsidRDefault="0074118D" w:rsidP="00656619">
      <w:pPr>
        <w:ind w:leftChars="1" w:left="2" w:firstLineChars="200" w:firstLine="600"/>
        <w:rPr>
          <w:rFonts w:ascii="仿宋" w:eastAsia="仿宋" w:hAnsi="仿宋"/>
          <w:sz w:val="30"/>
          <w:szCs w:val="30"/>
        </w:rPr>
      </w:pPr>
    </w:p>
    <w:p w14:paraId="74D453A2" w14:textId="77777777" w:rsidR="00A920DA" w:rsidRPr="00AD1BA8" w:rsidRDefault="00C365DF" w:rsidP="004F5685">
      <w:pPr>
        <w:jc w:val="center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图表</w:t>
      </w:r>
      <w:r w:rsidR="004F5685" w:rsidRPr="00AD1BA8">
        <w:rPr>
          <w:rFonts w:ascii="仿宋" w:eastAsia="仿宋" w:hAnsi="仿宋" w:hint="eastAsia"/>
          <w:b/>
          <w:sz w:val="30"/>
          <w:szCs w:val="30"/>
        </w:rPr>
        <w:t>14</w:t>
      </w:r>
      <w:r w:rsidRPr="00AD1BA8">
        <w:rPr>
          <w:rFonts w:ascii="仿宋" w:eastAsia="仿宋" w:hAnsi="仿宋" w:hint="eastAsia"/>
          <w:b/>
          <w:sz w:val="30"/>
          <w:szCs w:val="30"/>
        </w:rPr>
        <w:t>：SPSS对平均审理天数的线性回归检验2</w:t>
      </w:r>
    </w:p>
    <w:p w14:paraId="10995C39" w14:textId="77777777" w:rsidR="00A920DA" w:rsidRDefault="00C365DF" w:rsidP="004F5685">
      <w:pPr>
        <w:ind w:firstLineChars="200" w:firstLine="42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5EF381F1" wp14:editId="3ECCE579">
            <wp:extent cx="5019675" cy="4895850"/>
            <wp:effectExtent l="19050" t="0" r="9525" b="0"/>
            <wp:docPr id="8" name="图片 7" descr="回归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回归2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BF9C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回归检验效果较好，模型整体可决系数R²达到0.91，方程整体的sig值趋近于0，系数表中两个自变量的sig值均为0.001，远小于0.05。根据检验结果，线性回归模型为：</w:t>
      </w:r>
    </w:p>
    <w:p w14:paraId="018AB9C3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Y=509.620-56.194X</w:t>
      </w:r>
      <w:r w:rsidRPr="00203BAD">
        <w:rPr>
          <w:rFonts w:ascii="仿宋" w:eastAsia="仿宋" w:hAnsi="仿宋" w:hint="eastAsia"/>
          <w:sz w:val="30"/>
          <w:szCs w:val="30"/>
          <w:vertAlign w:val="subscript"/>
        </w:rPr>
        <w:t>1</w:t>
      </w:r>
      <w:r w:rsidRPr="00232F3B">
        <w:rPr>
          <w:rFonts w:ascii="仿宋" w:eastAsia="仿宋" w:hAnsi="仿宋" w:hint="eastAsia"/>
          <w:sz w:val="30"/>
          <w:szCs w:val="30"/>
        </w:rPr>
        <w:t>-411.993X</w:t>
      </w:r>
      <w:r w:rsidRPr="00203BAD">
        <w:rPr>
          <w:rFonts w:ascii="仿宋" w:eastAsia="仿宋" w:hAnsi="仿宋" w:hint="eastAsia"/>
          <w:sz w:val="30"/>
          <w:szCs w:val="30"/>
          <w:vertAlign w:val="subscript"/>
        </w:rPr>
        <w:t>2</w:t>
      </w:r>
    </w:p>
    <w:p w14:paraId="42052B82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其中，简易程序适用率表示重大、疑难、复杂案件数量</w:t>
      </w:r>
      <w:r w:rsidR="00A016F9">
        <w:rPr>
          <w:rFonts w:ascii="仿宋" w:eastAsia="仿宋" w:hAnsi="仿宋" w:hint="eastAsia"/>
          <w:sz w:val="30"/>
          <w:szCs w:val="30"/>
        </w:rPr>
        <w:t>多少，也代表繁简分流程度；审限内结案率代表法院加强审限管理程度</w:t>
      </w:r>
      <w:r w:rsidRPr="00232F3B">
        <w:rPr>
          <w:rFonts w:ascii="仿宋" w:eastAsia="仿宋" w:hAnsi="仿宋" w:hint="eastAsia"/>
          <w:sz w:val="30"/>
          <w:szCs w:val="30"/>
        </w:rPr>
        <w:t>。</w:t>
      </w:r>
      <w:r w:rsidR="006A0E29">
        <w:rPr>
          <w:rFonts w:ascii="仿宋" w:eastAsia="仿宋" w:hAnsi="仿宋" w:hint="eastAsia"/>
          <w:sz w:val="30"/>
          <w:szCs w:val="30"/>
        </w:rPr>
        <w:t>可见</w:t>
      </w:r>
      <w:r w:rsidRPr="00232F3B">
        <w:rPr>
          <w:rFonts w:ascii="仿宋" w:eastAsia="仿宋" w:hAnsi="仿宋" w:hint="eastAsia"/>
          <w:sz w:val="30"/>
          <w:szCs w:val="30"/>
        </w:rPr>
        <w:t>，除了案件难易程度的客观因素，加强案件审限管理是保证案件在法定期限内审结的关键手段。</w:t>
      </w:r>
    </w:p>
    <w:p w14:paraId="5B62E082" w14:textId="77777777" w:rsidR="00A920DA" w:rsidRPr="00AD1BA8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（二）影响案件审理外流转因素</w:t>
      </w:r>
    </w:p>
    <w:p w14:paraId="7B4BCF10" w14:textId="77777777" w:rsidR="00A920DA" w:rsidRPr="00232F3B" w:rsidRDefault="00C365DF" w:rsidP="00497D8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lastRenderedPageBreak/>
        <w:t>案件审理外的流转期间是不可忽视的时间成本</w:t>
      </w:r>
      <w:r w:rsidR="00BD1754">
        <w:rPr>
          <w:rFonts w:ascii="仿宋" w:eastAsia="仿宋" w:hAnsi="仿宋" w:hint="eastAsia"/>
          <w:sz w:val="30"/>
          <w:szCs w:val="30"/>
        </w:rPr>
        <w:t>，</w:t>
      </w:r>
      <w:r w:rsidRPr="00232F3B">
        <w:rPr>
          <w:rFonts w:ascii="仿宋" w:eastAsia="仿宋" w:hAnsi="仿宋" w:hint="eastAsia"/>
          <w:sz w:val="30"/>
          <w:szCs w:val="30"/>
        </w:rPr>
        <w:t>但</w:t>
      </w:r>
      <w:r w:rsidR="00497D89">
        <w:rPr>
          <w:rFonts w:ascii="仿宋" w:eastAsia="仿宋" w:hAnsi="仿宋" w:hint="eastAsia"/>
          <w:sz w:val="30"/>
          <w:szCs w:val="30"/>
        </w:rPr>
        <w:t>却</w:t>
      </w:r>
      <w:r w:rsidRPr="00232F3B">
        <w:rPr>
          <w:rFonts w:ascii="仿宋" w:eastAsia="仿宋" w:hAnsi="仿宋" w:hint="eastAsia"/>
          <w:sz w:val="30"/>
          <w:szCs w:val="30"/>
        </w:rPr>
        <w:t>处于管理灰色地带。影响这部分时间既有法院的原因，也有当事人原因。</w:t>
      </w:r>
    </w:p>
    <w:p w14:paraId="265391F9" w14:textId="77777777" w:rsidR="00A920DA" w:rsidRPr="00AD1BA8" w:rsidRDefault="004F5685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1.</w:t>
      </w:r>
      <w:r w:rsidR="00C365DF" w:rsidRPr="00AD1BA8">
        <w:rPr>
          <w:rFonts w:ascii="仿宋" w:eastAsia="仿宋" w:hAnsi="仿宋" w:hint="eastAsia"/>
          <w:b/>
          <w:sz w:val="30"/>
          <w:szCs w:val="30"/>
        </w:rPr>
        <w:t>法院原因</w:t>
      </w:r>
    </w:p>
    <w:p w14:paraId="6F13CC5B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一部分责任和程序意识不强的法官和书记员缺乏紧迫感，</w:t>
      </w:r>
      <w:r w:rsidR="006F54FF">
        <w:rPr>
          <w:rFonts w:ascii="仿宋" w:eastAsia="仿宋" w:hAnsi="仿宋" w:hint="eastAsia"/>
          <w:sz w:val="30"/>
          <w:szCs w:val="30"/>
        </w:rPr>
        <w:t>而且</w:t>
      </w:r>
      <w:r w:rsidRPr="00232F3B">
        <w:rPr>
          <w:rFonts w:ascii="仿宋" w:eastAsia="仿宋" w:hAnsi="仿宋" w:hint="eastAsia"/>
          <w:sz w:val="30"/>
          <w:szCs w:val="30"/>
        </w:rPr>
        <w:t>上诉案件流转涉及主体衔接不畅也会导致流转时间拖延。此外，</w:t>
      </w:r>
      <w:r w:rsidR="001B500F">
        <w:rPr>
          <w:rFonts w:ascii="仿宋" w:eastAsia="仿宋" w:hAnsi="仿宋" w:hint="eastAsia"/>
          <w:sz w:val="30"/>
          <w:szCs w:val="30"/>
        </w:rPr>
        <w:t>由于</w:t>
      </w:r>
      <w:r w:rsidRPr="00232F3B">
        <w:rPr>
          <w:rFonts w:ascii="仿宋" w:eastAsia="仿宋" w:hAnsi="仿宋" w:hint="eastAsia"/>
          <w:sz w:val="30"/>
          <w:szCs w:val="30"/>
        </w:rPr>
        <w:t>案件数量大、片面追求结案率等原因，二审法院立案也有拖延情况。</w:t>
      </w:r>
    </w:p>
    <w:p w14:paraId="6593A329" w14:textId="77777777" w:rsidR="00A920DA" w:rsidRPr="00AD1BA8" w:rsidRDefault="00F64091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2.</w:t>
      </w:r>
      <w:r w:rsidR="00C365DF" w:rsidRPr="00AD1BA8">
        <w:rPr>
          <w:rFonts w:ascii="仿宋" w:eastAsia="仿宋" w:hAnsi="仿宋" w:hint="eastAsia"/>
          <w:b/>
          <w:sz w:val="30"/>
          <w:szCs w:val="30"/>
        </w:rPr>
        <w:t>当事人原因</w:t>
      </w:r>
    </w:p>
    <w:p w14:paraId="6BE74F82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当事人原因主要是两种情况，一</w:t>
      </w:r>
      <w:r w:rsidR="0044111F">
        <w:rPr>
          <w:rFonts w:ascii="仿宋" w:eastAsia="仿宋" w:hAnsi="仿宋" w:hint="eastAsia"/>
          <w:sz w:val="30"/>
          <w:szCs w:val="30"/>
        </w:rPr>
        <w:t>种</w:t>
      </w:r>
      <w:r w:rsidRPr="00232F3B">
        <w:rPr>
          <w:rFonts w:ascii="仿宋" w:eastAsia="仿宋" w:hAnsi="仿宋" w:hint="eastAsia"/>
          <w:sz w:val="30"/>
          <w:szCs w:val="30"/>
        </w:rPr>
        <w:t>是送达困难，而另一种情形就是当事人故意拖延。</w:t>
      </w:r>
    </w:p>
    <w:p w14:paraId="23E2127C" w14:textId="77777777" w:rsidR="00A920DA" w:rsidRPr="00AD1BA8" w:rsidRDefault="00235618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="00F64091" w:rsidRPr="00AD1BA8">
        <w:rPr>
          <w:rFonts w:ascii="仿宋" w:eastAsia="仿宋" w:hAnsi="仿宋" w:hint="eastAsia"/>
          <w:b/>
          <w:sz w:val="30"/>
          <w:szCs w:val="30"/>
        </w:rPr>
        <w:t>、</w:t>
      </w:r>
      <w:r w:rsidR="00C365DF" w:rsidRPr="00AD1BA8">
        <w:rPr>
          <w:rFonts w:ascii="仿宋" w:eastAsia="仿宋" w:hAnsi="仿宋" w:hint="eastAsia"/>
          <w:b/>
          <w:sz w:val="30"/>
          <w:szCs w:val="30"/>
        </w:rPr>
        <w:t>严格流转周期、加强节点控制的建议</w:t>
      </w:r>
    </w:p>
    <w:p w14:paraId="32EBD406" w14:textId="77777777" w:rsidR="00A920DA" w:rsidRPr="00AD1BA8" w:rsidRDefault="00F64091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（一）</w:t>
      </w:r>
      <w:r w:rsidR="00C365DF" w:rsidRPr="00AD1BA8">
        <w:rPr>
          <w:rFonts w:ascii="仿宋" w:eastAsia="仿宋" w:hAnsi="仿宋" w:hint="eastAsia"/>
          <w:b/>
          <w:sz w:val="30"/>
          <w:szCs w:val="30"/>
        </w:rPr>
        <w:t>严格案件流程管理</w:t>
      </w:r>
    </w:p>
    <w:p w14:paraId="1C31ADC4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加强流程管理是加快案件流转周期的最直接的方式，流程管理包括两个方面的工作，一个是案件审理期限的管理，另一个是案件流程节点的管理。</w:t>
      </w:r>
    </w:p>
    <w:p w14:paraId="38E40BE6" w14:textId="77777777" w:rsidR="00A920DA" w:rsidRPr="00AD1BA8" w:rsidRDefault="00F64091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1.</w:t>
      </w:r>
      <w:r w:rsidR="00C365DF" w:rsidRPr="00AD1BA8">
        <w:rPr>
          <w:rFonts w:ascii="仿宋" w:eastAsia="仿宋" w:hAnsi="仿宋" w:hint="eastAsia"/>
          <w:b/>
          <w:sz w:val="30"/>
          <w:szCs w:val="30"/>
        </w:rPr>
        <w:t>加强案件审限管理</w:t>
      </w:r>
    </w:p>
    <w:p w14:paraId="1FA94C46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首先，规范审限变更的制度执行和审批流程，杜绝“显性”超审限，减少“隐性”超审限。严格落实审限变更审批，将审批权划归统一管理</w:t>
      </w:r>
      <w:r w:rsidRPr="00855BB0">
        <w:rPr>
          <w:rStyle w:val="ab"/>
          <w:rFonts w:ascii="黑体" w:eastAsia="黑体" w:hAnsi="黑体" w:hint="eastAsia"/>
          <w:sz w:val="36"/>
          <w:szCs w:val="36"/>
        </w:rPr>
        <w:footnoteReference w:id="4"/>
      </w:r>
      <w:r w:rsidRPr="00232F3B">
        <w:rPr>
          <w:rFonts w:ascii="仿宋" w:eastAsia="仿宋" w:hAnsi="仿宋" w:hint="eastAsia"/>
          <w:sz w:val="30"/>
          <w:szCs w:val="30"/>
        </w:rPr>
        <w:t>，避免审限变更审批不严、执行不实、逾期申报、事后补签、虚构理由、随意中止等情况发生。</w:t>
      </w:r>
    </w:p>
    <w:p w14:paraId="3CDFEB7A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第二，尊重审判规律，探索审限分类管理制度。案件审理所</w:t>
      </w:r>
      <w:r w:rsidRPr="00232F3B">
        <w:rPr>
          <w:rFonts w:ascii="仿宋" w:eastAsia="仿宋" w:hAnsi="仿宋" w:hint="eastAsia"/>
          <w:sz w:val="30"/>
          <w:szCs w:val="30"/>
        </w:rPr>
        <w:lastRenderedPageBreak/>
        <w:t>需天数和案件难易程度直接相关，而一些较为紧急，时效性强的案件可以适当压缩审限，而对于</w:t>
      </w:r>
      <w:r w:rsidR="00B309FD">
        <w:rPr>
          <w:rFonts w:ascii="仿宋" w:eastAsia="仿宋" w:hAnsi="仿宋" w:hint="eastAsia"/>
          <w:sz w:val="30"/>
          <w:szCs w:val="30"/>
        </w:rPr>
        <w:t>专业性较强的复杂案件</w:t>
      </w:r>
      <w:r w:rsidRPr="00232F3B">
        <w:rPr>
          <w:rFonts w:ascii="仿宋" w:eastAsia="仿宋" w:hAnsi="仿宋" w:hint="eastAsia"/>
          <w:sz w:val="30"/>
          <w:szCs w:val="30"/>
        </w:rPr>
        <w:t>可以适当延长审限，但是这种调整应该建立在尊重司法规律、深入调研的基础上进行。</w:t>
      </w:r>
    </w:p>
    <w:p w14:paraId="75597D2F" w14:textId="77777777" w:rsidR="00A920DA" w:rsidRPr="00AD1BA8" w:rsidRDefault="00C365DF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AD1BA8">
        <w:rPr>
          <w:rFonts w:ascii="仿宋" w:eastAsia="仿宋" w:hAnsi="仿宋" w:hint="eastAsia"/>
          <w:b/>
          <w:sz w:val="30"/>
          <w:szCs w:val="30"/>
        </w:rPr>
        <w:t>2.加强案件节点管理</w:t>
      </w:r>
    </w:p>
    <w:p w14:paraId="05247A6D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审判节点管理就是管住案件的过程。首先确保案件阶段性时效，立案后1-2个工作日内分案并移交法官，尽早安排开庭，如果无法做到当庭宣判的话，应在开庭之后5个工作日内进行评议，评议后5个工作日内制作文书</w:t>
      </w:r>
      <w:r w:rsidR="00937EC0">
        <w:rPr>
          <w:rFonts w:ascii="仿宋" w:eastAsia="仿宋" w:hAnsi="仿宋" w:hint="eastAsia"/>
          <w:sz w:val="30"/>
          <w:szCs w:val="30"/>
        </w:rPr>
        <w:t>。其次，对于鉴定等重点环节应加强管理，鉴定机构</w:t>
      </w:r>
      <w:r w:rsidRPr="00232F3B">
        <w:rPr>
          <w:rFonts w:ascii="仿宋" w:eastAsia="仿宋" w:hAnsi="仿宋" w:hint="eastAsia"/>
          <w:sz w:val="30"/>
          <w:szCs w:val="30"/>
        </w:rPr>
        <w:t>不能够按时办结的，建议</w:t>
      </w:r>
      <w:r w:rsidR="006D2861">
        <w:rPr>
          <w:rFonts w:ascii="仿宋" w:eastAsia="仿宋" w:hAnsi="仿宋" w:hint="eastAsia"/>
          <w:sz w:val="30"/>
          <w:szCs w:val="30"/>
        </w:rPr>
        <w:t>及时更换或</w:t>
      </w:r>
      <w:r w:rsidRPr="00232F3B">
        <w:rPr>
          <w:rFonts w:ascii="仿宋" w:eastAsia="仿宋" w:hAnsi="仿宋" w:hint="eastAsia"/>
          <w:sz w:val="30"/>
          <w:szCs w:val="30"/>
        </w:rPr>
        <w:t>取消接受委托鉴定资格。</w:t>
      </w:r>
    </w:p>
    <w:p w14:paraId="63794EEF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二是案件移送节点。要加强对案件审判外流转期限的管控，建立能够直接显示移送时间的统计端口，严格期限管理，形成超期通报、定期考核制度，以监管促规范。对于当事人原因导致移送迟延的，法官既要积极督促，也要书面明确告知逾期的法律后果，并及时处理当事人恶意拖延。</w:t>
      </w:r>
    </w:p>
    <w:p w14:paraId="3FD60E86" w14:textId="77777777" w:rsidR="00A920DA" w:rsidRPr="005641D9" w:rsidRDefault="00F64091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5641D9">
        <w:rPr>
          <w:rFonts w:ascii="仿宋" w:eastAsia="仿宋" w:hAnsi="仿宋" w:hint="eastAsia"/>
          <w:b/>
          <w:sz w:val="30"/>
          <w:szCs w:val="30"/>
        </w:rPr>
        <w:t>3.</w:t>
      </w:r>
      <w:r w:rsidR="00C365DF" w:rsidRPr="005641D9">
        <w:rPr>
          <w:rFonts w:ascii="仿宋" w:eastAsia="仿宋" w:hAnsi="仿宋" w:hint="eastAsia"/>
          <w:b/>
          <w:sz w:val="30"/>
          <w:szCs w:val="30"/>
        </w:rPr>
        <w:t>深化案件繁简分流工作</w:t>
      </w:r>
    </w:p>
    <w:p w14:paraId="11F81382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深化简案快审、繁案精审的案件分流体系，对事实清楚、权利义务明确、争议不大的案件快速分流，利用诉前调解、小额诉讼、简易程序等多种方式快速化解纠纷。各种繁简分流</w:t>
      </w:r>
      <w:r w:rsidR="00FA4E04">
        <w:rPr>
          <w:rFonts w:ascii="仿宋" w:eastAsia="仿宋" w:hAnsi="仿宋" w:hint="eastAsia"/>
          <w:sz w:val="30"/>
          <w:szCs w:val="30"/>
        </w:rPr>
        <w:t>制度应</w:t>
      </w:r>
      <w:r w:rsidRPr="00232F3B">
        <w:rPr>
          <w:rFonts w:ascii="仿宋" w:eastAsia="仿宋" w:hAnsi="仿宋" w:hint="eastAsia"/>
          <w:sz w:val="30"/>
          <w:szCs w:val="30"/>
        </w:rPr>
        <w:t>符合设计初衷，</w:t>
      </w:r>
      <w:r w:rsidR="00FA4E04">
        <w:rPr>
          <w:rFonts w:ascii="仿宋" w:eastAsia="仿宋" w:hAnsi="仿宋" w:hint="eastAsia"/>
          <w:sz w:val="30"/>
          <w:szCs w:val="30"/>
        </w:rPr>
        <w:t>比如</w:t>
      </w:r>
      <w:r w:rsidRPr="00232F3B">
        <w:rPr>
          <w:rFonts w:ascii="仿宋" w:eastAsia="仿宋" w:hAnsi="仿宋" w:hint="eastAsia"/>
          <w:sz w:val="30"/>
          <w:szCs w:val="30"/>
        </w:rPr>
        <w:t>简易程序案件应避免多次开庭</w:t>
      </w:r>
      <w:r w:rsidR="00FA4E04">
        <w:rPr>
          <w:rFonts w:ascii="仿宋" w:eastAsia="仿宋" w:hAnsi="仿宋" w:hint="eastAsia"/>
          <w:sz w:val="30"/>
          <w:szCs w:val="30"/>
        </w:rPr>
        <w:t>、</w:t>
      </w:r>
      <w:r w:rsidRPr="00232F3B">
        <w:rPr>
          <w:rFonts w:ascii="仿宋" w:eastAsia="仿宋" w:hAnsi="仿宋" w:hint="eastAsia"/>
          <w:sz w:val="30"/>
          <w:szCs w:val="30"/>
        </w:rPr>
        <w:t>因拖沓审理导致转普通程序，</w:t>
      </w:r>
      <w:r w:rsidR="003A3717">
        <w:rPr>
          <w:rFonts w:ascii="仿宋" w:eastAsia="仿宋" w:hAnsi="仿宋" w:hint="eastAsia"/>
          <w:sz w:val="30"/>
          <w:szCs w:val="30"/>
        </w:rPr>
        <w:t>否则</w:t>
      </w:r>
      <w:r>
        <w:rPr>
          <w:rFonts w:ascii="仿宋" w:eastAsia="仿宋" w:hAnsi="仿宋" w:hint="eastAsia"/>
          <w:sz w:val="30"/>
          <w:szCs w:val="30"/>
        </w:rPr>
        <w:t>可能会导致最终司法总成本的提高而非降低</w:t>
      </w:r>
      <w:r w:rsidRPr="00232F3B">
        <w:rPr>
          <w:rFonts w:ascii="仿宋" w:eastAsia="仿宋" w:hAnsi="仿宋" w:hint="eastAsia"/>
          <w:sz w:val="30"/>
          <w:szCs w:val="30"/>
        </w:rPr>
        <w:t>，</w:t>
      </w:r>
      <w:r>
        <w:rPr>
          <w:rStyle w:val="ab"/>
          <w:rFonts w:ascii="仿宋" w:eastAsia="仿宋" w:hAnsi="仿宋"/>
          <w:sz w:val="30"/>
          <w:szCs w:val="30"/>
        </w:rPr>
        <w:lastRenderedPageBreak/>
        <w:footnoteReference w:id="5"/>
      </w:r>
      <w:r w:rsidRPr="00232F3B">
        <w:rPr>
          <w:rFonts w:ascii="仿宋" w:eastAsia="仿宋" w:hAnsi="仿宋" w:hint="eastAsia"/>
          <w:sz w:val="30"/>
          <w:szCs w:val="30"/>
        </w:rPr>
        <w:t>真正发挥繁简分流提高审判效率的制度价值。</w:t>
      </w:r>
    </w:p>
    <w:p w14:paraId="75111A1F" w14:textId="77777777" w:rsidR="00A920DA" w:rsidRPr="005641D9" w:rsidRDefault="00F64091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5641D9">
        <w:rPr>
          <w:rFonts w:ascii="仿宋" w:eastAsia="仿宋" w:hAnsi="仿宋" w:hint="eastAsia"/>
          <w:b/>
          <w:sz w:val="30"/>
          <w:szCs w:val="30"/>
        </w:rPr>
        <w:t>4.</w:t>
      </w:r>
      <w:r w:rsidR="00C365DF" w:rsidRPr="005641D9">
        <w:rPr>
          <w:rFonts w:ascii="仿宋" w:eastAsia="仿宋" w:hAnsi="仿宋" w:hint="eastAsia"/>
          <w:b/>
          <w:sz w:val="30"/>
          <w:szCs w:val="30"/>
        </w:rPr>
        <w:t>重视庭前准备，优化庭审有效性</w:t>
      </w:r>
    </w:p>
    <w:p w14:paraId="2C24046F" w14:textId="77777777" w:rsidR="00A920DA" w:rsidRPr="005641D9" w:rsidRDefault="00F64091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5641D9">
        <w:rPr>
          <w:rFonts w:ascii="仿宋" w:eastAsia="仿宋" w:hAnsi="仿宋" w:hint="eastAsia"/>
          <w:b/>
          <w:sz w:val="30"/>
          <w:szCs w:val="30"/>
        </w:rPr>
        <w:t>（1）</w:t>
      </w:r>
      <w:r w:rsidR="00C365DF" w:rsidRPr="005641D9">
        <w:rPr>
          <w:rFonts w:ascii="仿宋" w:eastAsia="仿宋" w:hAnsi="仿宋" w:hint="eastAsia"/>
          <w:b/>
          <w:sz w:val="30"/>
          <w:szCs w:val="30"/>
        </w:rPr>
        <w:t>重视庭前准备</w:t>
      </w:r>
    </w:p>
    <w:p w14:paraId="7CCAE2D3" w14:textId="77777777" w:rsidR="00A920DA" w:rsidRPr="00232F3B" w:rsidRDefault="00C365DF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2F3B">
        <w:rPr>
          <w:rFonts w:ascii="仿宋" w:eastAsia="仿宋" w:hAnsi="仿宋" w:hint="eastAsia"/>
          <w:sz w:val="30"/>
          <w:szCs w:val="30"/>
        </w:rPr>
        <w:t>良好的庭前程序</w:t>
      </w:r>
      <w:r w:rsidR="00C16DCE">
        <w:rPr>
          <w:rFonts w:ascii="仿宋" w:eastAsia="仿宋" w:hAnsi="仿宋" w:hint="eastAsia"/>
          <w:sz w:val="30"/>
          <w:szCs w:val="30"/>
        </w:rPr>
        <w:t>和</w:t>
      </w:r>
      <w:r w:rsidRPr="00232F3B">
        <w:rPr>
          <w:rFonts w:ascii="仿宋" w:eastAsia="仿宋" w:hAnsi="仿宋" w:hint="eastAsia"/>
          <w:sz w:val="30"/>
          <w:szCs w:val="30"/>
        </w:rPr>
        <w:t>庭前准备对庭审的高</w:t>
      </w:r>
      <w:r w:rsidR="00C16DCE" w:rsidRPr="00232F3B">
        <w:rPr>
          <w:rFonts w:ascii="仿宋" w:eastAsia="仿宋" w:hAnsi="仿宋" w:hint="eastAsia"/>
          <w:sz w:val="30"/>
          <w:szCs w:val="30"/>
        </w:rPr>
        <w:t>质</w:t>
      </w:r>
      <w:r w:rsidRPr="00232F3B">
        <w:rPr>
          <w:rFonts w:ascii="仿宋" w:eastAsia="仿宋" w:hAnsi="仿宋" w:hint="eastAsia"/>
          <w:sz w:val="30"/>
          <w:szCs w:val="30"/>
        </w:rPr>
        <w:t>效有重要作用。重视庭前工作，简单案件争取当庭宣判，复杂案件尽量明确争点、固定请求、证据开示，确定</w:t>
      </w:r>
      <w:r w:rsidR="00F300D7">
        <w:rPr>
          <w:rFonts w:ascii="仿宋" w:eastAsia="仿宋" w:hAnsi="仿宋" w:hint="eastAsia"/>
          <w:sz w:val="30"/>
          <w:szCs w:val="30"/>
        </w:rPr>
        <w:t>无</w:t>
      </w:r>
      <w:r w:rsidRPr="00232F3B">
        <w:rPr>
          <w:rFonts w:ascii="仿宋" w:eastAsia="仿宋" w:hAnsi="仿宋" w:hint="eastAsia"/>
          <w:sz w:val="30"/>
          <w:szCs w:val="30"/>
        </w:rPr>
        <w:t>争议的事实和证据，制作庭审提纲，鉴定、评估等事项应在庭前进行，尽量使庭审完整不间断，确保庭审实质化。</w:t>
      </w:r>
    </w:p>
    <w:p w14:paraId="0E6CA3F4" w14:textId="77777777" w:rsidR="00A920DA" w:rsidRPr="005641D9" w:rsidRDefault="00F64091" w:rsidP="00A90BE4">
      <w:pPr>
        <w:ind w:firstLineChars="200" w:firstLine="649"/>
        <w:rPr>
          <w:rFonts w:ascii="仿宋" w:eastAsia="仿宋" w:hAnsi="仿宋"/>
          <w:b/>
          <w:sz w:val="30"/>
          <w:szCs w:val="30"/>
        </w:rPr>
      </w:pPr>
      <w:r w:rsidRPr="005641D9">
        <w:rPr>
          <w:rFonts w:ascii="仿宋" w:eastAsia="仿宋" w:hAnsi="仿宋" w:hint="eastAsia"/>
          <w:b/>
          <w:sz w:val="30"/>
          <w:szCs w:val="30"/>
        </w:rPr>
        <w:t>（2）</w:t>
      </w:r>
      <w:r w:rsidR="00C365DF" w:rsidRPr="005641D9">
        <w:rPr>
          <w:rFonts w:ascii="仿宋" w:eastAsia="仿宋" w:hAnsi="仿宋" w:hint="eastAsia"/>
          <w:b/>
          <w:sz w:val="30"/>
          <w:szCs w:val="30"/>
        </w:rPr>
        <w:t>优化庭审</w:t>
      </w:r>
      <w:r w:rsidR="00C33D66">
        <w:rPr>
          <w:rFonts w:ascii="仿宋" w:eastAsia="仿宋" w:hAnsi="仿宋" w:hint="eastAsia"/>
          <w:b/>
          <w:sz w:val="30"/>
          <w:szCs w:val="30"/>
        </w:rPr>
        <w:t>效率</w:t>
      </w:r>
      <w:r w:rsidR="001E0976">
        <w:rPr>
          <w:rFonts w:ascii="仿宋" w:eastAsia="仿宋" w:hAnsi="仿宋" w:hint="eastAsia"/>
          <w:b/>
          <w:sz w:val="30"/>
          <w:szCs w:val="30"/>
        </w:rPr>
        <w:t>及效果</w:t>
      </w:r>
    </w:p>
    <w:p w14:paraId="78DA7F4F" w14:textId="77777777" w:rsidR="00684D38" w:rsidRDefault="00684D38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首先，针对焦点审理。</w:t>
      </w:r>
      <w:r w:rsidR="00C365DF" w:rsidRPr="00232F3B">
        <w:rPr>
          <w:rFonts w:ascii="仿宋" w:eastAsia="仿宋" w:hAnsi="仿宋" w:hint="eastAsia"/>
          <w:sz w:val="30"/>
          <w:szCs w:val="30"/>
        </w:rPr>
        <w:t>在完善的庭前准备的基础上，</w:t>
      </w:r>
      <w:r w:rsidR="004A69D2">
        <w:rPr>
          <w:rFonts w:ascii="仿宋" w:eastAsia="仿宋" w:hAnsi="仿宋" w:hint="eastAsia"/>
          <w:sz w:val="30"/>
          <w:szCs w:val="30"/>
        </w:rPr>
        <w:t>准确归纳争议焦点，引导当事人有针对性</w:t>
      </w:r>
      <w:r w:rsidR="00C365DF" w:rsidRPr="00232F3B">
        <w:rPr>
          <w:rFonts w:ascii="仿宋" w:eastAsia="仿宋" w:hAnsi="仿宋" w:hint="eastAsia"/>
          <w:sz w:val="30"/>
          <w:szCs w:val="30"/>
        </w:rPr>
        <w:t>举证、质证、辩论，提高庭审效率，防止在争议焦点不清的情况下泛泛调查，庭审过后仍然无法明确认定事实的现象发生，尽量一次性不间断审理完毕，避免反复开庭。</w:t>
      </w:r>
    </w:p>
    <w:p w14:paraId="7152F853" w14:textId="77777777" w:rsidR="00684D38" w:rsidRDefault="00684D38" w:rsidP="00232F3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其次，提高</w:t>
      </w:r>
      <w:r w:rsidR="00C365DF" w:rsidRPr="00232F3B">
        <w:rPr>
          <w:rFonts w:ascii="仿宋" w:eastAsia="仿宋" w:hAnsi="仿宋" w:hint="eastAsia"/>
          <w:sz w:val="30"/>
          <w:szCs w:val="30"/>
        </w:rPr>
        <w:t>审判水平和庭审驾驭能力</w:t>
      </w:r>
      <w:r>
        <w:rPr>
          <w:rFonts w:ascii="仿宋" w:eastAsia="仿宋" w:hAnsi="仿宋" w:hint="eastAsia"/>
          <w:sz w:val="30"/>
          <w:szCs w:val="30"/>
        </w:rPr>
        <w:t>。</w:t>
      </w:r>
      <w:r w:rsidR="00C365DF" w:rsidRPr="00232F3B">
        <w:rPr>
          <w:rFonts w:ascii="仿宋" w:eastAsia="仿宋" w:hAnsi="仿宋" w:hint="eastAsia"/>
          <w:sz w:val="30"/>
          <w:szCs w:val="30"/>
        </w:rPr>
        <w:t>对于当事人可能提出的导致庭审中断的临时动议、程序性请求、突发情况等事项提前做好预案，确保庭审的顺利进行。制作</w:t>
      </w:r>
      <w:r w:rsidR="000E59EC">
        <w:rPr>
          <w:rFonts w:ascii="仿宋" w:eastAsia="仿宋" w:hAnsi="仿宋" w:hint="eastAsia"/>
          <w:sz w:val="30"/>
          <w:szCs w:val="30"/>
        </w:rPr>
        <w:t>针对不同情况</w:t>
      </w:r>
      <w:r w:rsidR="00C365DF" w:rsidRPr="00232F3B">
        <w:rPr>
          <w:rFonts w:ascii="仿宋" w:eastAsia="仿宋" w:hAnsi="仿宋" w:hint="eastAsia"/>
          <w:sz w:val="30"/>
          <w:szCs w:val="30"/>
        </w:rPr>
        <w:t>处置方案和操作规程，</w:t>
      </w:r>
      <w:r w:rsidR="000E59EC">
        <w:rPr>
          <w:rFonts w:ascii="仿宋" w:eastAsia="仿宋" w:hAnsi="仿宋" w:hint="eastAsia"/>
          <w:sz w:val="30"/>
          <w:szCs w:val="30"/>
        </w:rPr>
        <w:t>为</w:t>
      </w:r>
      <w:r w:rsidR="00C365DF" w:rsidRPr="00232F3B">
        <w:rPr>
          <w:rFonts w:ascii="仿宋" w:eastAsia="仿宋" w:hAnsi="仿宋" w:hint="eastAsia"/>
          <w:sz w:val="30"/>
          <w:szCs w:val="30"/>
        </w:rPr>
        <w:t>审判经验不够丰富的年轻法官提供有效应对和果断处置的方法指引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170D8775" w14:textId="77777777" w:rsidR="00A920DA" w:rsidRPr="000D109B" w:rsidRDefault="00684D38" w:rsidP="000D109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第三，不同审级</w:t>
      </w:r>
      <w:r w:rsidR="00C33D66">
        <w:rPr>
          <w:rFonts w:ascii="仿宋" w:eastAsia="仿宋" w:hAnsi="仿宋" w:hint="eastAsia"/>
          <w:sz w:val="30"/>
          <w:szCs w:val="30"/>
        </w:rPr>
        <w:t>体现职能差异</w:t>
      </w:r>
      <w:r>
        <w:rPr>
          <w:rFonts w:ascii="仿宋" w:eastAsia="仿宋" w:hAnsi="仿宋" w:hint="eastAsia"/>
          <w:sz w:val="30"/>
          <w:szCs w:val="30"/>
        </w:rPr>
        <w:t>。</w:t>
      </w:r>
      <w:r w:rsidR="00A77DFA">
        <w:rPr>
          <w:rFonts w:ascii="仿宋" w:eastAsia="仿宋" w:hAnsi="仿宋" w:hint="eastAsia"/>
          <w:sz w:val="30"/>
          <w:szCs w:val="30"/>
        </w:rPr>
        <w:t>一审以查清事实为基本，侧重多元纠纷化解；二审</w:t>
      </w:r>
      <w:r w:rsidR="00714AF5">
        <w:rPr>
          <w:rFonts w:ascii="仿宋" w:eastAsia="仿宋" w:hAnsi="仿宋" w:hint="eastAsia"/>
          <w:sz w:val="30"/>
          <w:szCs w:val="30"/>
        </w:rPr>
        <w:t>围绕上诉请求进行有限</w:t>
      </w:r>
      <w:r w:rsidR="003B1D5B">
        <w:rPr>
          <w:rFonts w:ascii="仿宋" w:eastAsia="仿宋" w:hAnsi="仿宋" w:hint="eastAsia"/>
          <w:sz w:val="30"/>
          <w:szCs w:val="30"/>
        </w:rPr>
        <w:t>、</w:t>
      </w:r>
      <w:r w:rsidR="00714AF5">
        <w:rPr>
          <w:rFonts w:ascii="仿宋" w:eastAsia="仿宋" w:hAnsi="仿宋" w:hint="eastAsia"/>
          <w:sz w:val="30"/>
          <w:szCs w:val="30"/>
        </w:rPr>
        <w:t>重点审理</w:t>
      </w:r>
      <w:r w:rsidR="00F81B5B">
        <w:rPr>
          <w:rFonts w:ascii="仿宋" w:eastAsia="仿宋" w:hAnsi="仿宋" w:hint="eastAsia"/>
          <w:sz w:val="30"/>
          <w:szCs w:val="30"/>
        </w:rPr>
        <w:t>，当事</w:t>
      </w:r>
      <w:r w:rsidR="00F81B5B">
        <w:rPr>
          <w:rFonts w:ascii="仿宋" w:eastAsia="仿宋" w:hAnsi="仿宋" w:hint="eastAsia"/>
          <w:sz w:val="30"/>
          <w:szCs w:val="30"/>
        </w:rPr>
        <w:lastRenderedPageBreak/>
        <w:t>人</w:t>
      </w:r>
      <w:r w:rsidR="003B1D5B">
        <w:rPr>
          <w:rFonts w:ascii="仿宋" w:eastAsia="仿宋" w:hAnsi="仿宋" w:hint="eastAsia"/>
          <w:sz w:val="30"/>
          <w:szCs w:val="30"/>
        </w:rPr>
        <w:t>未</w:t>
      </w:r>
      <w:r w:rsidR="00F81B5B">
        <w:rPr>
          <w:rFonts w:ascii="仿宋" w:eastAsia="仿宋" w:hAnsi="仿宋" w:hint="eastAsia"/>
          <w:sz w:val="30"/>
          <w:szCs w:val="30"/>
        </w:rPr>
        <w:t>提出新事实证据</w:t>
      </w:r>
      <w:r w:rsidR="000A20A0">
        <w:rPr>
          <w:rFonts w:ascii="仿宋" w:eastAsia="仿宋" w:hAnsi="仿宋" w:hint="eastAsia"/>
          <w:sz w:val="30"/>
          <w:szCs w:val="30"/>
        </w:rPr>
        <w:t>可由承办法官询问，</w:t>
      </w:r>
      <w:r w:rsidR="00025BCA">
        <w:rPr>
          <w:rFonts w:ascii="仿宋" w:eastAsia="仿宋" w:hAnsi="仿宋" w:hint="eastAsia"/>
          <w:sz w:val="30"/>
          <w:szCs w:val="30"/>
        </w:rPr>
        <w:t>简化审理</w:t>
      </w:r>
      <w:r w:rsidR="00714AF5">
        <w:rPr>
          <w:rFonts w:ascii="仿宋" w:eastAsia="仿宋" w:hAnsi="仿宋" w:hint="eastAsia"/>
          <w:sz w:val="30"/>
          <w:szCs w:val="30"/>
        </w:rPr>
        <w:t>；</w:t>
      </w:r>
      <w:r w:rsidR="00F7468D">
        <w:rPr>
          <w:rFonts w:ascii="仿宋" w:eastAsia="仿宋" w:hAnsi="仿宋" w:hint="eastAsia"/>
          <w:sz w:val="30"/>
          <w:szCs w:val="30"/>
        </w:rPr>
        <w:t>审判监督程序则严格精审，发挥纠错功能。</w:t>
      </w:r>
      <w:r w:rsidR="00D64F2C">
        <w:rPr>
          <w:rFonts w:ascii="仿宋" w:eastAsia="仿宋" w:hAnsi="仿宋" w:hint="eastAsia"/>
          <w:sz w:val="30"/>
          <w:szCs w:val="30"/>
        </w:rPr>
        <w:t>避免不同审级庭审同质化，减少工作重复和司法资源浪费</w:t>
      </w:r>
      <w:r w:rsidR="00023ADF">
        <w:rPr>
          <w:rFonts w:ascii="仿宋" w:eastAsia="仿宋" w:hAnsi="仿宋" w:hint="eastAsia"/>
          <w:sz w:val="30"/>
          <w:szCs w:val="30"/>
        </w:rPr>
        <w:t>，</w:t>
      </w:r>
      <w:r w:rsidR="00023ADF" w:rsidRPr="00232F3B">
        <w:rPr>
          <w:rFonts w:ascii="仿宋" w:eastAsia="仿宋" w:hAnsi="仿宋" w:hint="eastAsia"/>
          <w:sz w:val="30"/>
          <w:szCs w:val="30"/>
        </w:rPr>
        <w:t>切实提高庭审质量和效率。</w:t>
      </w:r>
    </w:p>
    <w:sectPr w:rsidR="00A920DA" w:rsidRPr="000D109B" w:rsidSect="00EC5BAA">
      <w:footerReference w:type="default" r:id="rId2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19C41" w14:textId="77777777" w:rsidR="004203AA" w:rsidRDefault="004203AA" w:rsidP="00A920DA">
      <w:r>
        <w:separator/>
      </w:r>
    </w:p>
  </w:endnote>
  <w:endnote w:type="continuationSeparator" w:id="0">
    <w:p w14:paraId="463E7814" w14:textId="77777777" w:rsidR="004203AA" w:rsidRDefault="004203AA" w:rsidP="00A9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8781"/>
      <w:docPartObj>
        <w:docPartGallery w:val="Page Numbers (Bottom of Page)"/>
        <w:docPartUnique/>
      </w:docPartObj>
    </w:sdtPr>
    <w:sdtEndPr/>
    <w:sdtContent>
      <w:p w14:paraId="154B85E7" w14:textId="77777777" w:rsidR="004F39DF" w:rsidRDefault="001A01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A017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D5C9942" w14:textId="77777777" w:rsidR="004F39DF" w:rsidRDefault="004F39D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3483" w14:textId="77777777" w:rsidR="004203AA" w:rsidRDefault="004203AA" w:rsidP="00A920DA">
      <w:r>
        <w:separator/>
      </w:r>
    </w:p>
  </w:footnote>
  <w:footnote w:type="continuationSeparator" w:id="0">
    <w:p w14:paraId="447EEFC9" w14:textId="77777777" w:rsidR="004203AA" w:rsidRDefault="004203AA" w:rsidP="00A920DA">
      <w:r>
        <w:continuationSeparator/>
      </w:r>
    </w:p>
  </w:footnote>
  <w:footnote w:id="1">
    <w:p w14:paraId="7ABC16D5" w14:textId="77777777" w:rsidR="004F39DF" w:rsidRDefault="004F39DF">
      <w:pPr>
        <w:pStyle w:val="a9"/>
      </w:pPr>
      <w:r>
        <w:rPr>
          <w:rFonts w:hint="eastAsia"/>
        </w:rPr>
        <w:t>*</w:t>
      </w:r>
      <w:r>
        <w:rPr>
          <w:rFonts w:hint="eastAsia"/>
        </w:rPr>
        <w:t>课题主持人：吕建萍</w:t>
      </w:r>
    </w:p>
    <w:p w14:paraId="1CC4E324" w14:textId="77777777" w:rsidR="004F39DF" w:rsidRDefault="004F39DF">
      <w:pPr>
        <w:pStyle w:val="a9"/>
      </w:pPr>
      <w:r>
        <w:rPr>
          <w:rFonts w:hint="eastAsia"/>
        </w:rPr>
        <w:t xml:space="preserve"> </w:t>
      </w:r>
      <w:r>
        <w:rPr>
          <w:rFonts w:hint="eastAsia"/>
        </w:rPr>
        <w:t>课题组成员：廖</w:t>
      </w:r>
      <w:r>
        <w:rPr>
          <w:rFonts w:hint="eastAsia"/>
        </w:rPr>
        <w:t xml:space="preserve">  </w:t>
      </w:r>
      <w:r>
        <w:rPr>
          <w:rFonts w:hint="eastAsia"/>
        </w:rPr>
        <w:t>卉、王丹彤</w:t>
      </w:r>
    </w:p>
    <w:p w14:paraId="484A95FF" w14:textId="77777777" w:rsidR="004F39DF" w:rsidRDefault="004F39D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案件可能经历不同的审理程序才能够最终生效，一审后生效、一审</w:t>
      </w:r>
      <w:r>
        <w:rPr>
          <w:rFonts w:hint="eastAsia"/>
        </w:rPr>
        <w:t>-</w:t>
      </w:r>
      <w:r>
        <w:rPr>
          <w:rFonts w:hint="eastAsia"/>
        </w:rPr>
        <w:t>二审后生效、一审、二审（生效但进入再审被撤销）、再审后最终生效。</w:t>
      </w:r>
    </w:p>
  </w:footnote>
  <w:footnote w:id="2">
    <w:p w14:paraId="70694122" w14:textId="77777777" w:rsidR="004F39DF" w:rsidRDefault="004F39D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该用时为法官审理案件的有效用时。举个例子，两个案件均是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日立案，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日结案，但是在缺乏有效的流程节点管理的情况下，其中一个案件较为复杂，法官从立案开始就一直处理，直到结案，而另一个案件较为简单，法官第一次庭审之后可很快结案，但是并未及时报结，或者是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日前的较短时间之内迅速开庭结案。因此对于前一个案件法官的有效工作时间是</w:t>
      </w:r>
      <w:r>
        <w:rPr>
          <w:rFonts w:hint="eastAsia"/>
        </w:rPr>
        <w:t>60</w:t>
      </w:r>
      <w:r>
        <w:rPr>
          <w:rFonts w:hint="eastAsia"/>
        </w:rPr>
        <w:t>日，而后一个案件有效工作时间则很短，但是在数字法院系统的审限统计中显示是一样的。因此，对于法官有效时间的安排，我们只能够通过审判实践情况，结合数字法院系统第一次庭审前后时间分配，大致确定时间的分布情况。</w:t>
      </w:r>
    </w:p>
  </w:footnote>
  <w:footnote w:id="3">
    <w:p w14:paraId="10F4ABF7" w14:textId="77777777" w:rsidR="004F39DF" w:rsidRPr="00B43D29" w:rsidRDefault="004F39D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吉林中院在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月统计全地区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日前立案诉讼案件到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日前不能结案的有</w:t>
      </w:r>
      <w:r>
        <w:rPr>
          <w:rFonts w:hint="eastAsia"/>
        </w:rPr>
        <w:t>186</w:t>
      </w:r>
      <w:r>
        <w:rPr>
          <w:rFonts w:hint="eastAsia"/>
        </w:rPr>
        <w:t>件，其中因鉴定导致不能结案为</w:t>
      </w:r>
      <w:r>
        <w:rPr>
          <w:rFonts w:hint="eastAsia"/>
        </w:rPr>
        <w:t>57</w:t>
      </w:r>
      <w:r>
        <w:rPr>
          <w:rFonts w:hint="eastAsia"/>
        </w:rPr>
        <w:t>件，占</w:t>
      </w:r>
      <w:r>
        <w:rPr>
          <w:rFonts w:hint="eastAsia"/>
        </w:rPr>
        <w:t>30.65%</w:t>
      </w:r>
      <w:r>
        <w:rPr>
          <w:rFonts w:hint="eastAsia"/>
        </w:rPr>
        <w:t>。</w:t>
      </w:r>
    </w:p>
  </w:footnote>
  <w:footnote w:id="4">
    <w:p w14:paraId="1575EAE4" w14:textId="77777777" w:rsidR="004F39DF" w:rsidRDefault="004F39D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吉林中院在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月开始就将延长审限的审批权划归到审管办统一管理，延长审限案件数量大幅下降，法定审限内结案率从</w:t>
      </w:r>
      <w:r>
        <w:rPr>
          <w:rFonts w:hint="eastAsia"/>
        </w:rPr>
        <w:t>2015</w:t>
      </w:r>
      <w:r>
        <w:rPr>
          <w:rFonts w:hint="eastAsia"/>
        </w:rPr>
        <w:t>年的</w:t>
      </w:r>
      <w:r>
        <w:rPr>
          <w:rFonts w:hint="eastAsia"/>
        </w:rPr>
        <w:t>93.35%</w:t>
      </w:r>
      <w:r>
        <w:rPr>
          <w:rFonts w:hint="eastAsia"/>
        </w:rPr>
        <w:t>上升到</w:t>
      </w:r>
      <w:r>
        <w:rPr>
          <w:rFonts w:hint="eastAsia"/>
        </w:rPr>
        <w:t>2016</w:t>
      </w:r>
      <w:r>
        <w:rPr>
          <w:rFonts w:hint="eastAsia"/>
        </w:rPr>
        <w:t>年的</w:t>
      </w:r>
      <w:r>
        <w:rPr>
          <w:rFonts w:hint="eastAsia"/>
        </w:rPr>
        <w:t>97.48%</w:t>
      </w:r>
      <w:r>
        <w:rPr>
          <w:rFonts w:hint="eastAsia"/>
        </w:rPr>
        <w:t>，取得良好的效果。</w:t>
      </w:r>
    </w:p>
  </w:footnote>
  <w:footnote w:id="5">
    <w:p w14:paraId="67C0DD3B" w14:textId="77777777" w:rsidR="004F39DF" w:rsidRDefault="004F39D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罗东川、黄斌：《我国司法效率改革的实践探索——立足于当前人民法院“案多人少”问题的思考》，载《法律适用》</w:t>
      </w:r>
      <w:r>
        <w:rPr>
          <w:rFonts w:hint="eastAsia"/>
        </w:rPr>
        <w:t>2011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期。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ED7F"/>
    <w:multiLevelType w:val="singleLevel"/>
    <w:tmpl w:val="594DED7F"/>
    <w:lvl w:ilvl="0">
      <w:start w:val="1"/>
      <w:numFmt w:val="decimal"/>
      <w:suff w:val="nothing"/>
      <w:lvlText w:val="%1."/>
      <w:lvlJc w:val="left"/>
    </w:lvl>
  </w:abstractNum>
  <w:abstractNum w:abstractNumId="1">
    <w:nsid w:val="594DFE4F"/>
    <w:multiLevelType w:val="singleLevel"/>
    <w:tmpl w:val="594DFE4F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94E17E2"/>
    <w:multiLevelType w:val="singleLevel"/>
    <w:tmpl w:val="594E17E2"/>
    <w:lvl w:ilvl="0">
      <w:start w:val="1"/>
      <w:numFmt w:val="decimal"/>
      <w:suff w:val="nothing"/>
      <w:lvlText w:val="%1."/>
      <w:lvlJc w:val="left"/>
    </w:lvl>
  </w:abstractNum>
  <w:abstractNum w:abstractNumId="3">
    <w:nsid w:val="594F5E30"/>
    <w:multiLevelType w:val="singleLevel"/>
    <w:tmpl w:val="594F5E30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94F61B7"/>
    <w:multiLevelType w:val="singleLevel"/>
    <w:tmpl w:val="594F61B7"/>
    <w:lvl w:ilvl="0">
      <w:start w:val="1"/>
      <w:numFmt w:val="decimal"/>
      <w:suff w:val="nothing"/>
      <w:lvlText w:val="%1."/>
      <w:lvlJc w:val="left"/>
    </w:lvl>
  </w:abstractNum>
  <w:abstractNum w:abstractNumId="5">
    <w:nsid w:val="594FBA00"/>
    <w:multiLevelType w:val="singleLevel"/>
    <w:tmpl w:val="594FBA00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94FC45D"/>
    <w:multiLevelType w:val="singleLevel"/>
    <w:tmpl w:val="594FC45D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EDC"/>
    <w:rsid w:val="00000858"/>
    <w:rsid w:val="00001BD4"/>
    <w:rsid w:val="000022A1"/>
    <w:rsid w:val="00002B1E"/>
    <w:rsid w:val="00003195"/>
    <w:rsid w:val="0000321F"/>
    <w:rsid w:val="000034B9"/>
    <w:rsid w:val="000044E8"/>
    <w:rsid w:val="000053FD"/>
    <w:rsid w:val="0000755B"/>
    <w:rsid w:val="0000790B"/>
    <w:rsid w:val="000120F9"/>
    <w:rsid w:val="000125B5"/>
    <w:rsid w:val="00012A1D"/>
    <w:rsid w:val="00017CC1"/>
    <w:rsid w:val="00020499"/>
    <w:rsid w:val="00023123"/>
    <w:rsid w:val="0002318C"/>
    <w:rsid w:val="00023ADF"/>
    <w:rsid w:val="00025BCA"/>
    <w:rsid w:val="000265D3"/>
    <w:rsid w:val="00027A43"/>
    <w:rsid w:val="00027FAA"/>
    <w:rsid w:val="0003080F"/>
    <w:rsid w:val="00032D0D"/>
    <w:rsid w:val="00033504"/>
    <w:rsid w:val="00035CDF"/>
    <w:rsid w:val="00037BE3"/>
    <w:rsid w:val="00037C1B"/>
    <w:rsid w:val="0004185E"/>
    <w:rsid w:val="00043C9A"/>
    <w:rsid w:val="00043CA7"/>
    <w:rsid w:val="00045D54"/>
    <w:rsid w:val="0004654A"/>
    <w:rsid w:val="000474A0"/>
    <w:rsid w:val="000504B0"/>
    <w:rsid w:val="00050B33"/>
    <w:rsid w:val="00051EF4"/>
    <w:rsid w:val="00055378"/>
    <w:rsid w:val="000558CC"/>
    <w:rsid w:val="00057CB6"/>
    <w:rsid w:val="000607E4"/>
    <w:rsid w:val="00061903"/>
    <w:rsid w:val="00062E0E"/>
    <w:rsid w:val="00062E2D"/>
    <w:rsid w:val="0006604B"/>
    <w:rsid w:val="00066B39"/>
    <w:rsid w:val="00067209"/>
    <w:rsid w:val="00067839"/>
    <w:rsid w:val="00070AD4"/>
    <w:rsid w:val="00071330"/>
    <w:rsid w:val="000732AE"/>
    <w:rsid w:val="00073421"/>
    <w:rsid w:val="000738D0"/>
    <w:rsid w:val="00074EE1"/>
    <w:rsid w:val="00075A23"/>
    <w:rsid w:val="00076EFE"/>
    <w:rsid w:val="00077659"/>
    <w:rsid w:val="00077BF1"/>
    <w:rsid w:val="00077D4E"/>
    <w:rsid w:val="000808EA"/>
    <w:rsid w:val="00082AAD"/>
    <w:rsid w:val="00083012"/>
    <w:rsid w:val="00083BDB"/>
    <w:rsid w:val="00083FE7"/>
    <w:rsid w:val="00084AF7"/>
    <w:rsid w:val="00084FB6"/>
    <w:rsid w:val="00085591"/>
    <w:rsid w:val="00086724"/>
    <w:rsid w:val="00087ED4"/>
    <w:rsid w:val="00090E0D"/>
    <w:rsid w:val="0009330A"/>
    <w:rsid w:val="00094598"/>
    <w:rsid w:val="00094EEB"/>
    <w:rsid w:val="00096068"/>
    <w:rsid w:val="00096744"/>
    <w:rsid w:val="0009705F"/>
    <w:rsid w:val="00097941"/>
    <w:rsid w:val="00097C31"/>
    <w:rsid w:val="000A06B4"/>
    <w:rsid w:val="000A1341"/>
    <w:rsid w:val="000A1DDD"/>
    <w:rsid w:val="000A20A0"/>
    <w:rsid w:val="000A227B"/>
    <w:rsid w:val="000A4A69"/>
    <w:rsid w:val="000A5534"/>
    <w:rsid w:val="000A5BF7"/>
    <w:rsid w:val="000A7CC0"/>
    <w:rsid w:val="000B2320"/>
    <w:rsid w:val="000B45BC"/>
    <w:rsid w:val="000B465A"/>
    <w:rsid w:val="000B4975"/>
    <w:rsid w:val="000B68DD"/>
    <w:rsid w:val="000B6ABA"/>
    <w:rsid w:val="000C1F24"/>
    <w:rsid w:val="000C3E63"/>
    <w:rsid w:val="000C670C"/>
    <w:rsid w:val="000C7701"/>
    <w:rsid w:val="000D0DA0"/>
    <w:rsid w:val="000D109B"/>
    <w:rsid w:val="000D1353"/>
    <w:rsid w:val="000D1977"/>
    <w:rsid w:val="000D2B39"/>
    <w:rsid w:val="000D4494"/>
    <w:rsid w:val="000D5DC9"/>
    <w:rsid w:val="000D6913"/>
    <w:rsid w:val="000D736B"/>
    <w:rsid w:val="000D7763"/>
    <w:rsid w:val="000E0DA9"/>
    <w:rsid w:val="000E182A"/>
    <w:rsid w:val="000E59EC"/>
    <w:rsid w:val="000E6715"/>
    <w:rsid w:val="000E753E"/>
    <w:rsid w:val="000F0142"/>
    <w:rsid w:val="000F11F4"/>
    <w:rsid w:val="000F1436"/>
    <w:rsid w:val="000F1D2C"/>
    <w:rsid w:val="000F31A7"/>
    <w:rsid w:val="000F3472"/>
    <w:rsid w:val="000F399B"/>
    <w:rsid w:val="000F4584"/>
    <w:rsid w:val="000F740E"/>
    <w:rsid w:val="001010F0"/>
    <w:rsid w:val="00102A93"/>
    <w:rsid w:val="00106435"/>
    <w:rsid w:val="001068D1"/>
    <w:rsid w:val="00106902"/>
    <w:rsid w:val="00107ECC"/>
    <w:rsid w:val="00110CA5"/>
    <w:rsid w:val="00110E71"/>
    <w:rsid w:val="00111EC2"/>
    <w:rsid w:val="00112EEF"/>
    <w:rsid w:val="001137D7"/>
    <w:rsid w:val="00115309"/>
    <w:rsid w:val="00115646"/>
    <w:rsid w:val="00115C21"/>
    <w:rsid w:val="001201C9"/>
    <w:rsid w:val="00120802"/>
    <w:rsid w:val="0012257E"/>
    <w:rsid w:val="00122EAE"/>
    <w:rsid w:val="001251D6"/>
    <w:rsid w:val="00127571"/>
    <w:rsid w:val="00130D90"/>
    <w:rsid w:val="00132301"/>
    <w:rsid w:val="001325D2"/>
    <w:rsid w:val="0013383F"/>
    <w:rsid w:val="001347E0"/>
    <w:rsid w:val="00134BBB"/>
    <w:rsid w:val="0013521A"/>
    <w:rsid w:val="00136978"/>
    <w:rsid w:val="001408C3"/>
    <w:rsid w:val="00140E59"/>
    <w:rsid w:val="001417A9"/>
    <w:rsid w:val="00142979"/>
    <w:rsid w:val="00142B2C"/>
    <w:rsid w:val="00144563"/>
    <w:rsid w:val="00144D12"/>
    <w:rsid w:val="00145A62"/>
    <w:rsid w:val="001463AB"/>
    <w:rsid w:val="0014656F"/>
    <w:rsid w:val="0014718A"/>
    <w:rsid w:val="00147863"/>
    <w:rsid w:val="00147A15"/>
    <w:rsid w:val="00147FD9"/>
    <w:rsid w:val="00151F63"/>
    <w:rsid w:val="00152A0F"/>
    <w:rsid w:val="00154D7B"/>
    <w:rsid w:val="00154FB3"/>
    <w:rsid w:val="00156009"/>
    <w:rsid w:val="00156040"/>
    <w:rsid w:val="00156208"/>
    <w:rsid w:val="001567A2"/>
    <w:rsid w:val="00160662"/>
    <w:rsid w:val="00161C9C"/>
    <w:rsid w:val="001628A1"/>
    <w:rsid w:val="00162BCB"/>
    <w:rsid w:val="001631C4"/>
    <w:rsid w:val="001643CC"/>
    <w:rsid w:val="001646D1"/>
    <w:rsid w:val="00165B85"/>
    <w:rsid w:val="001664C6"/>
    <w:rsid w:val="001700FC"/>
    <w:rsid w:val="00172E51"/>
    <w:rsid w:val="00173C71"/>
    <w:rsid w:val="0017500C"/>
    <w:rsid w:val="0017501B"/>
    <w:rsid w:val="00175D9E"/>
    <w:rsid w:val="0017638E"/>
    <w:rsid w:val="00177383"/>
    <w:rsid w:val="001779F0"/>
    <w:rsid w:val="0018106C"/>
    <w:rsid w:val="001825B3"/>
    <w:rsid w:val="00186007"/>
    <w:rsid w:val="00186367"/>
    <w:rsid w:val="00186B8E"/>
    <w:rsid w:val="001870F7"/>
    <w:rsid w:val="00187995"/>
    <w:rsid w:val="00190B78"/>
    <w:rsid w:val="00194153"/>
    <w:rsid w:val="001A0177"/>
    <w:rsid w:val="001A3460"/>
    <w:rsid w:val="001A655E"/>
    <w:rsid w:val="001A6A35"/>
    <w:rsid w:val="001A7AC9"/>
    <w:rsid w:val="001B029E"/>
    <w:rsid w:val="001B2EA1"/>
    <w:rsid w:val="001B3DD5"/>
    <w:rsid w:val="001B4347"/>
    <w:rsid w:val="001B4803"/>
    <w:rsid w:val="001B500F"/>
    <w:rsid w:val="001B56EF"/>
    <w:rsid w:val="001C0C94"/>
    <w:rsid w:val="001C1200"/>
    <w:rsid w:val="001C216D"/>
    <w:rsid w:val="001C2307"/>
    <w:rsid w:val="001C27A0"/>
    <w:rsid w:val="001C4801"/>
    <w:rsid w:val="001C4FB7"/>
    <w:rsid w:val="001C762F"/>
    <w:rsid w:val="001D01AD"/>
    <w:rsid w:val="001D0912"/>
    <w:rsid w:val="001D1470"/>
    <w:rsid w:val="001D1A90"/>
    <w:rsid w:val="001D3CD8"/>
    <w:rsid w:val="001D6752"/>
    <w:rsid w:val="001D7EDC"/>
    <w:rsid w:val="001E0976"/>
    <w:rsid w:val="001E0FAC"/>
    <w:rsid w:val="001E5660"/>
    <w:rsid w:val="001F2120"/>
    <w:rsid w:val="001F2A42"/>
    <w:rsid w:val="001F3376"/>
    <w:rsid w:val="001F3602"/>
    <w:rsid w:val="001F47D7"/>
    <w:rsid w:val="001F57CD"/>
    <w:rsid w:val="001F6198"/>
    <w:rsid w:val="00200EBF"/>
    <w:rsid w:val="0020241E"/>
    <w:rsid w:val="00202A15"/>
    <w:rsid w:val="00202D15"/>
    <w:rsid w:val="002037F5"/>
    <w:rsid w:val="00203BAD"/>
    <w:rsid w:val="00204BB7"/>
    <w:rsid w:val="00204D3A"/>
    <w:rsid w:val="00207A54"/>
    <w:rsid w:val="00211568"/>
    <w:rsid w:val="00211D08"/>
    <w:rsid w:val="0021337E"/>
    <w:rsid w:val="002142FD"/>
    <w:rsid w:val="00214B9A"/>
    <w:rsid w:val="00214D77"/>
    <w:rsid w:val="00214EE5"/>
    <w:rsid w:val="0022039A"/>
    <w:rsid w:val="00221571"/>
    <w:rsid w:val="00221F03"/>
    <w:rsid w:val="00222052"/>
    <w:rsid w:val="00222EEF"/>
    <w:rsid w:val="00223D46"/>
    <w:rsid w:val="002240C4"/>
    <w:rsid w:val="00224E36"/>
    <w:rsid w:val="00225FD3"/>
    <w:rsid w:val="0022734E"/>
    <w:rsid w:val="00227359"/>
    <w:rsid w:val="00230DA4"/>
    <w:rsid w:val="00230E0A"/>
    <w:rsid w:val="00230E54"/>
    <w:rsid w:val="0023144D"/>
    <w:rsid w:val="0023213D"/>
    <w:rsid w:val="00232A84"/>
    <w:rsid w:val="00232F3B"/>
    <w:rsid w:val="00233617"/>
    <w:rsid w:val="00235618"/>
    <w:rsid w:val="00236C66"/>
    <w:rsid w:val="002374ED"/>
    <w:rsid w:val="00240E67"/>
    <w:rsid w:val="0024108B"/>
    <w:rsid w:val="002410C3"/>
    <w:rsid w:val="00242A98"/>
    <w:rsid w:val="00242C30"/>
    <w:rsid w:val="00242F87"/>
    <w:rsid w:val="0024308A"/>
    <w:rsid w:val="0024318B"/>
    <w:rsid w:val="00245A0A"/>
    <w:rsid w:val="00247028"/>
    <w:rsid w:val="00251454"/>
    <w:rsid w:val="00252205"/>
    <w:rsid w:val="002528BB"/>
    <w:rsid w:val="00252AD0"/>
    <w:rsid w:val="00253FC7"/>
    <w:rsid w:val="00255CC8"/>
    <w:rsid w:val="002565B8"/>
    <w:rsid w:val="00256771"/>
    <w:rsid w:val="00257F74"/>
    <w:rsid w:val="00261B76"/>
    <w:rsid w:val="00261CF8"/>
    <w:rsid w:val="00263A55"/>
    <w:rsid w:val="00263C28"/>
    <w:rsid w:val="002677AE"/>
    <w:rsid w:val="00267820"/>
    <w:rsid w:val="00267E19"/>
    <w:rsid w:val="00270347"/>
    <w:rsid w:val="002703A5"/>
    <w:rsid w:val="002704A6"/>
    <w:rsid w:val="00270F87"/>
    <w:rsid w:val="00271284"/>
    <w:rsid w:val="0027200D"/>
    <w:rsid w:val="00273F35"/>
    <w:rsid w:val="00274CAD"/>
    <w:rsid w:val="00275832"/>
    <w:rsid w:val="00280170"/>
    <w:rsid w:val="002801AF"/>
    <w:rsid w:val="00282FEF"/>
    <w:rsid w:val="00283678"/>
    <w:rsid w:val="00284211"/>
    <w:rsid w:val="00285021"/>
    <w:rsid w:val="002855AD"/>
    <w:rsid w:val="00286060"/>
    <w:rsid w:val="0028695B"/>
    <w:rsid w:val="00287ABF"/>
    <w:rsid w:val="00291B5F"/>
    <w:rsid w:val="00292866"/>
    <w:rsid w:val="00293709"/>
    <w:rsid w:val="00293963"/>
    <w:rsid w:val="002941E9"/>
    <w:rsid w:val="00294B56"/>
    <w:rsid w:val="00296D6B"/>
    <w:rsid w:val="002A1E71"/>
    <w:rsid w:val="002A38B1"/>
    <w:rsid w:val="002A4652"/>
    <w:rsid w:val="002A49A0"/>
    <w:rsid w:val="002A7247"/>
    <w:rsid w:val="002B0BBA"/>
    <w:rsid w:val="002B0E0D"/>
    <w:rsid w:val="002B2384"/>
    <w:rsid w:val="002B23F0"/>
    <w:rsid w:val="002B2735"/>
    <w:rsid w:val="002B2EF5"/>
    <w:rsid w:val="002B5783"/>
    <w:rsid w:val="002B6C76"/>
    <w:rsid w:val="002B780F"/>
    <w:rsid w:val="002C000F"/>
    <w:rsid w:val="002C05BA"/>
    <w:rsid w:val="002C09B9"/>
    <w:rsid w:val="002C1548"/>
    <w:rsid w:val="002C1EFE"/>
    <w:rsid w:val="002C2589"/>
    <w:rsid w:val="002C2C23"/>
    <w:rsid w:val="002C39CA"/>
    <w:rsid w:val="002C7865"/>
    <w:rsid w:val="002D0B27"/>
    <w:rsid w:val="002D0DC2"/>
    <w:rsid w:val="002D2568"/>
    <w:rsid w:val="002D25E2"/>
    <w:rsid w:val="002D3CA4"/>
    <w:rsid w:val="002D5A00"/>
    <w:rsid w:val="002D5F2B"/>
    <w:rsid w:val="002D693E"/>
    <w:rsid w:val="002D7956"/>
    <w:rsid w:val="002E17DE"/>
    <w:rsid w:val="002E7C6A"/>
    <w:rsid w:val="002F070A"/>
    <w:rsid w:val="002F184D"/>
    <w:rsid w:val="002F25CD"/>
    <w:rsid w:val="002F3E42"/>
    <w:rsid w:val="002F53F2"/>
    <w:rsid w:val="002F7937"/>
    <w:rsid w:val="002F7DF7"/>
    <w:rsid w:val="0030001E"/>
    <w:rsid w:val="003023B3"/>
    <w:rsid w:val="0030644F"/>
    <w:rsid w:val="00307FB3"/>
    <w:rsid w:val="003124BD"/>
    <w:rsid w:val="00312DAF"/>
    <w:rsid w:val="00314C50"/>
    <w:rsid w:val="00315D9F"/>
    <w:rsid w:val="00315DC0"/>
    <w:rsid w:val="0031640C"/>
    <w:rsid w:val="00316639"/>
    <w:rsid w:val="0032084B"/>
    <w:rsid w:val="0032126E"/>
    <w:rsid w:val="00321A0F"/>
    <w:rsid w:val="00322C5B"/>
    <w:rsid w:val="00323735"/>
    <w:rsid w:val="00324425"/>
    <w:rsid w:val="00326E52"/>
    <w:rsid w:val="0033045E"/>
    <w:rsid w:val="00331460"/>
    <w:rsid w:val="003323E3"/>
    <w:rsid w:val="00332629"/>
    <w:rsid w:val="00332747"/>
    <w:rsid w:val="00332D94"/>
    <w:rsid w:val="00334789"/>
    <w:rsid w:val="00336AE6"/>
    <w:rsid w:val="0034037F"/>
    <w:rsid w:val="00341805"/>
    <w:rsid w:val="00341DBE"/>
    <w:rsid w:val="003428CE"/>
    <w:rsid w:val="00343833"/>
    <w:rsid w:val="003446F7"/>
    <w:rsid w:val="00344F0C"/>
    <w:rsid w:val="00345932"/>
    <w:rsid w:val="00346CA8"/>
    <w:rsid w:val="00346E77"/>
    <w:rsid w:val="003506FD"/>
    <w:rsid w:val="00351CF9"/>
    <w:rsid w:val="0035242C"/>
    <w:rsid w:val="0035386B"/>
    <w:rsid w:val="0035458A"/>
    <w:rsid w:val="0035469F"/>
    <w:rsid w:val="00354960"/>
    <w:rsid w:val="0035553D"/>
    <w:rsid w:val="0035785F"/>
    <w:rsid w:val="0035791C"/>
    <w:rsid w:val="00357A66"/>
    <w:rsid w:val="00360DA3"/>
    <w:rsid w:val="003612CA"/>
    <w:rsid w:val="00361D3B"/>
    <w:rsid w:val="00362053"/>
    <w:rsid w:val="0036253F"/>
    <w:rsid w:val="00364453"/>
    <w:rsid w:val="003668D0"/>
    <w:rsid w:val="003701C9"/>
    <w:rsid w:val="00370ABA"/>
    <w:rsid w:val="00373E61"/>
    <w:rsid w:val="003756F3"/>
    <w:rsid w:val="003769B8"/>
    <w:rsid w:val="003774C5"/>
    <w:rsid w:val="003800D4"/>
    <w:rsid w:val="003803A3"/>
    <w:rsid w:val="003804F4"/>
    <w:rsid w:val="00382983"/>
    <w:rsid w:val="0038431B"/>
    <w:rsid w:val="00387857"/>
    <w:rsid w:val="0039030F"/>
    <w:rsid w:val="0039144A"/>
    <w:rsid w:val="003917F9"/>
    <w:rsid w:val="00391C68"/>
    <w:rsid w:val="0039254D"/>
    <w:rsid w:val="00393A43"/>
    <w:rsid w:val="00397B3C"/>
    <w:rsid w:val="00397BB7"/>
    <w:rsid w:val="003A04DC"/>
    <w:rsid w:val="003A0DC6"/>
    <w:rsid w:val="003A1140"/>
    <w:rsid w:val="003A29D0"/>
    <w:rsid w:val="003A3717"/>
    <w:rsid w:val="003A574D"/>
    <w:rsid w:val="003A59F8"/>
    <w:rsid w:val="003A79AA"/>
    <w:rsid w:val="003B1D47"/>
    <w:rsid w:val="003B1D5B"/>
    <w:rsid w:val="003B28F9"/>
    <w:rsid w:val="003B3099"/>
    <w:rsid w:val="003B46B7"/>
    <w:rsid w:val="003B5359"/>
    <w:rsid w:val="003B535B"/>
    <w:rsid w:val="003B7A3A"/>
    <w:rsid w:val="003B7B97"/>
    <w:rsid w:val="003B7DCA"/>
    <w:rsid w:val="003C112F"/>
    <w:rsid w:val="003C16C2"/>
    <w:rsid w:val="003C17CA"/>
    <w:rsid w:val="003C7F5A"/>
    <w:rsid w:val="003D021C"/>
    <w:rsid w:val="003D0EC2"/>
    <w:rsid w:val="003D202E"/>
    <w:rsid w:val="003D213B"/>
    <w:rsid w:val="003D2BA3"/>
    <w:rsid w:val="003D3712"/>
    <w:rsid w:val="003D5645"/>
    <w:rsid w:val="003D6265"/>
    <w:rsid w:val="003D6AEC"/>
    <w:rsid w:val="003D7863"/>
    <w:rsid w:val="003D7A9A"/>
    <w:rsid w:val="003D7BAD"/>
    <w:rsid w:val="003D7C90"/>
    <w:rsid w:val="003D7D15"/>
    <w:rsid w:val="003E068F"/>
    <w:rsid w:val="003E10D8"/>
    <w:rsid w:val="003E295F"/>
    <w:rsid w:val="003E391A"/>
    <w:rsid w:val="003E3F94"/>
    <w:rsid w:val="003E5CB3"/>
    <w:rsid w:val="003E6010"/>
    <w:rsid w:val="003E6077"/>
    <w:rsid w:val="003E6137"/>
    <w:rsid w:val="003E6D84"/>
    <w:rsid w:val="003E741A"/>
    <w:rsid w:val="003E7F16"/>
    <w:rsid w:val="003F060D"/>
    <w:rsid w:val="003F2FDD"/>
    <w:rsid w:val="003F4419"/>
    <w:rsid w:val="003F7D51"/>
    <w:rsid w:val="004012B2"/>
    <w:rsid w:val="0040139A"/>
    <w:rsid w:val="00402086"/>
    <w:rsid w:val="0040276C"/>
    <w:rsid w:val="004028E3"/>
    <w:rsid w:val="00405AFD"/>
    <w:rsid w:val="00407184"/>
    <w:rsid w:val="00410B27"/>
    <w:rsid w:val="0041148B"/>
    <w:rsid w:val="00411618"/>
    <w:rsid w:val="0041213D"/>
    <w:rsid w:val="00412652"/>
    <w:rsid w:val="00414844"/>
    <w:rsid w:val="004149D8"/>
    <w:rsid w:val="00414E19"/>
    <w:rsid w:val="00416EDE"/>
    <w:rsid w:val="004203AA"/>
    <w:rsid w:val="004230E8"/>
    <w:rsid w:val="00423665"/>
    <w:rsid w:val="00424C53"/>
    <w:rsid w:val="004269BF"/>
    <w:rsid w:val="00426E0C"/>
    <w:rsid w:val="00427800"/>
    <w:rsid w:val="00427C4C"/>
    <w:rsid w:val="00436672"/>
    <w:rsid w:val="00436723"/>
    <w:rsid w:val="004410FF"/>
    <w:rsid w:val="0044111F"/>
    <w:rsid w:val="00441814"/>
    <w:rsid w:val="00441E16"/>
    <w:rsid w:val="00443A84"/>
    <w:rsid w:val="00444DAB"/>
    <w:rsid w:val="004450AD"/>
    <w:rsid w:val="004452AA"/>
    <w:rsid w:val="00446DFA"/>
    <w:rsid w:val="004474A0"/>
    <w:rsid w:val="00447CBB"/>
    <w:rsid w:val="00447FAF"/>
    <w:rsid w:val="00451210"/>
    <w:rsid w:val="00451254"/>
    <w:rsid w:val="0045499C"/>
    <w:rsid w:val="004550AC"/>
    <w:rsid w:val="00455925"/>
    <w:rsid w:val="00455FF1"/>
    <w:rsid w:val="0045633C"/>
    <w:rsid w:val="004565B2"/>
    <w:rsid w:val="00457FF5"/>
    <w:rsid w:val="004611C4"/>
    <w:rsid w:val="004615FE"/>
    <w:rsid w:val="0046230C"/>
    <w:rsid w:val="004633A3"/>
    <w:rsid w:val="00472D34"/>
    <w:rsid w:val="00473B28"/>
    <w:rsid w:val="00474578"/>
    <w:rsid w:val="00474C1B"/>
    <w:rsid w:val="00475547"/>
    <w:rsid w:val="004762AE"/>
    <w:rsid w:val="004811CB"/>
    <w:rsid w:val="00481728"/>
    <w:rsid w:val="00482299"/>
    <w:rsid w:val="00482732"/>
    <w:rsid w:val="00483B48"/>
    <w:rsid w:val="004855D8"/>
    <w:rsid w:val="00485F47"/>
    <w:rsid w:val="00486B74"/>
    <w:rsid w:val="00486CD4"/>
    <w:rsid w:val="00487687"/>
    <w:rsid w:val="00490D46"/>
    <w:rsid w:val="004928C6"/>
    <w:rsid w:val="00492AB0"/>
    <w:rsid w:val="004930D0"/>
    <w:rsid w:val="00494135"/>
    <w:rsid w:val="00494A83"/>
    <w:rsid w:val="0049554D"/>
    <w:rsid w:val="004958D8"/>
    <w:rsid w:val="00495E0F"/>
    <w:rsid w:val="00497D89"/>
    <w:rsid w:val="004A2AFC"/>
    <w:rsid w:val="004A32DE"/>
    <w:rsid w:val="004A3F95"/>
    <w:rsid w:val="004A69D2"/>
    <w:rsid w:val="004B04D7"/>
    <w:rsid w:val="004B0F48"/>
    <w:rsid w:val="004B1104"/>
    <w:rsid w:val="004B2D73"/>
    <w:rsid w:val="004B40A1"/>
    <w:rsid w:val="004B41CB"/>
    <w:rsid w:val="004B5C93"/>
    <w:rsid w:val="004B7209"/>
    <w:rsid w:val="004B74D7"/>
    <w:rsid w:val="004C023E"/>
    <w:rsid w:val="004C6DC7"/>
    <w:rsid w:val="004C7EA8"/>
    <w:rsid w:val="004D0F6E"/>
    <w:rsid w:val="004D1517"/>
    <w:rsid w:val="004D2D17"/>
    <w:rsid w:val="004D3022"/>
    <w:rsid w:val="004D3408"/>
    <w:rsid w:val="004D34BF"/>
    <w:rsid w:val="004D457B"/>
    <w:rsid w:val="004D578E"/>
    <w:rsid w:val="004D7C20"/>
    <w:rsid w:val="004E3989"/>
    <w:rsid w:val="004E695A"/>
    <w:rsid w:val="004E79F4"/>
    <w:rsid w:val="004F1D69"/>
    <w:rsid w:val="004F1DBC"/>
    <w:rsid w:val="004F2FF0"/>
    <w:rsid w:val="004F39DF"/>
    <w:rsid w:val="004F407C"/>
    <w:rsid w:val="004F4D29"/>
    <w:rsid w:val="004F50CE"/>
    <w:rsid w:val="004F5685"/>
    <w:rsid w:val="004F6198"/>
    <w:rsid w:val="004F73A3"/>
    <w:rsid w:val="00503CCF"/>
    <w:rsid w:val="00504F65"/>
    <w:rsid w:val="00505F4D"/>
    <w:rsid w:val="00506B43"/>
    <w:rsid w:val="00506CDA"/>
    <w:rsid w:val="00510F34"/>
    <w:rsid w:val="00511121"/>
    <w:rsid w:val="00512CBC"/>
    <w:rsid w:val="00512E2A"/>
    <w:rsid w:val="005141CB"/>
    <w:rsid w:val="00514A3D"/>
    <w:rsid w:val="00514D96"/>
    <w:rsid w:val="0051665F"/>
    <w:rsid w:val="00517570"/>
    <w:rsid w:val="00517E49"/>
    <w:rsid w:val="0052060B"/>
    <w:rsid w:val="0052092D"/>
    <w:rsid w:val="005217DD"/>
    <w:rsid w:val="00521AB5"/>
    <w:rsid w:val="005240AF"/>
    <w:rsid w:val="005245DB"/>
    <w:rsid w:val="00525D84"/>
    <w:rsid w:val="00525DFA"/>
    <w:rsid w:val="00525FED"/>
    <w:rsid w:val="00526B82"/>
    <w:rsid w:val="00527868"/>
    <w:rsid w:val="00531992"/>
    <w:rsid w:val="00531B98"/>
    <w:rsid w:val="00533884"/>
    <w:rsid w:val="00535B26"/>
    <w:rsid w:val="00536643"/>
    <w:rsid w:val="00536D53"/>
    <w:rsid w:val="00537BE4"/>
    <w:rsid w:val="00540A67"/>
    <w:rsid w:val="0054273C"/>
    <w:rsid w:val="00545FA6"/>
    <w:rsid w:val="00546683"/>
    <w:rsid w:val="005517F1"/>
    <w:rsid w:val="005557EF"/>
    <w:rsid w:val="00555892"/>
    <w:rsid w:val="00555B6A"/>
    <w:rsid w:val="0055675C"/>
    <w:rsid w:val="00556AF6"/>
    <w:rsid w:val="00556D0F"/>
    <w:rsid w:val="00556D20"/>
    <w:rsid w:val="00557F0F"/>
    <w:rsid w:val="00561904"/>
    <w:rsid w:val="00563B2F"/>
    <w:rsid w:val="00563D61"/>
    <w:rsid w:val="005641D9"/>
    <w:rsid w:val="00565ADB"/>
    <w:rsid w:val="005675B8"/>
    <w:rsid w:val="005676D6"/>
    <w:rsid w:val="00572772"/>
    <w:rsid w:val="00575A91"/>
    <w:rsid w:val="00581756"/>
    <w:rsid w:val="00581A19"/>
    <w:rsid w:val="00582D0D"/>
    <w:rsid w:val="00582DAB"/>
    <w:rsid w:val="00583458"/>
    <w:rsid w:val="00583D99"/>
    <w:rsid w:val="00583F7B"/>
    <w:rsid w:val="005844A6"/>
    <w:rsid w:val="00585B7C"/>
    <w:rsid w:val="005916DE"/>
    <w:rsid w:val="0059258D"/>
    <w:rsid w:val="005932E6"/>
    <w:rsid w:val="00594465"/>
    <w:rsid w:val="00595DEC"/>
    <w:rsid w:val="00596C06"/>
    <w:rsid w:val="005A0139"/>
    <w:rsid w:val="005A2FBB"/>
    <w:rsid w:val="005A325E"/>
    <w:rsid w:val="005A32D1"/>
    <w:rsid w:val="005A6110"/>
    <w:rsid w:val="005A6144"/>
    <w:rsid w:val="005A6409"/>
    <w:rsid w:val="005A650C"/>
    <w:rsid w:val="005A6BE1"/>
    <w:rsid w:val="005A6E0E"/>
    <w:rsid w:val="005B195A"/>
    <w:rsid w:val="005B1F40"/>
    <w:rsid w:val="005B3F00"/>
    <w:rsid w:val="005B4AAF"/>
    <w:rsid w:val="005B4BD0"/>
    <w:rsid w:val="005B588A"/>
    <w:rsid w:val="005B6077"/>
    <w:rsid w:val="005B61ED"/>
    <w:rsid w:val="005B763A"/>
    <w:rsid w:val="005B7F70"/>
    <w:rsid w:val="005C02BC"/>
    <w:rsid w:val="005C0F8A"/>
    <w:rsid w:val="005C51F3"/>
    <w:rsid w:val="005C5EA0"/>
    <w:rsid w:val="005C7C1F"/>
    <w:rsid w:val="005D059A"/>
    <w:rsid w:val="005D14FB"/>
    <w:rsid w:val="005D5206"/>
    <w:rsid w:val="005D5A98"/>
    <w:rsid w:val="005E516B"/>
    <w:rsid w:val="005E58DA"/>
    <w:rsid w:val="005E5BFE"/>
    <w:rsid w:val="005E60CD"/>
    <w:rsid w:val="005E73CE"/>
    <w:rsid w:val="005F053C"/>
    <w:rsid w:val="005F0988"/>
    <w:rsid w:val="005F107D"/>
    <w:rsid w:val="005F1197"/>
    <w:rsid w:val="005F11F8"/>
    <w:rsid w:val="005F2DC9"/>
    <w:rsid w:val="005F403B"/>
    <w:rsid w:val="005F4A00"/>
    <w:rsid w:val="005F5068"/>
    <w:rsid w:val="005F5B15"/>
    <w:rsid w:val="005F74F0"/>
    <w:rsid w:val="0060005D"/>
    <w:rsid w:val="00601866"/>
    <w:rsid w:val="00601B23"/>
    <w:rsid w:val="006029B0"/>
    <w:rsid w:val="0060316D"/>
    <w:rsid w:val="006043CF"/>
    <w:rsid w:val="006066F9"/>
    <w:rsid w:val="00606FDB"/>
    <w:rsid w:val="006073B2"/>
    <w:rsid w:val="00611387"/>
    <w:rsid w:val="00612F90"/>
    <w:rsid w:val="006141FE"/>
    <w:rsid w:val="006152E8"/>
    <w:rsid w:val="00617279"/>
    <w:rsid w:val="0061753E"/>
    <w:rsid w:val="00617A8D"/>
    <w:rsid w:val="006209FA"/>
    <w:rsid w:val="006217C1"/>
    <w:rsid w:val="00622BFB"/>
    <w:rsid w:val="006234A5"/>
    <w:rsid w:val="00624688"/>
    <w:rsid w:val="00625D0A"/>
    <w:rsid w:val="00626697"/>
    <w:rsid w:val="006267A2"/>
    <w:rsid w:val="00626F63"/>
    <w:rsid w:val="00632C70"/>
    <w:rsid w:val="00633090"/>
    <w:rsid w:val="00633DB0"/>
    <w:rsid w:val="00637123"/>
    <w:rsid w:val="006372DC"/>
    <w:rsid w:val="00641F09"/>
    <w:rsid w:val="00642491"/>
    <w:rsid w:val="006436B2"/>
    <w:rsid w:val="00645B7D"/>
    <w:rsid w:val="00645C2C"/>
    <w:rsid w:val="006465AF"/>
    <w:rsid w:val="0064738F"/>
    <w:rsid w:val="00647E93"/>
    <w:rsid w:val="0065214A"/>
    <w:rsid w:val="00652659"/>
    <w:rsid w:val="006530F0"/>
    <w:rsid w:val="00653667"/>
    <w:rsid w:val="00654821"/>
    <w:rsid w:val="00655B20"/>
    <w:rsid w:val="00655F69"/>
    <w:rsid w:val="00656619"/>
    <w:rsid w:val="00656C7E"/>
    <w:rsid w:val="00656DE7"/>
    <w:rsid w:val="006607B2"/>
    <w:rsid w:val="00660A7B"/>
    <w:rsid w:val="00661E5C"/>
    <w:rsid w:val="00662651"/>
    <w:rsid w:val="00663182"/>
    <w:rsid w:val="00663A0A"/>
    <w:rsid w:val="00665289"/>
    <w:rsid w:val="006673EE"/>
    <w:rsid w:val="006758CE"/>
    <w:rsid w:val="006761AB"/>
    <w:rsid w:val="006762F0"/>
    <w:rsid w:val="00676DB4"/>
    <w:rsid w:val="0067701D"/>
    <w:rsid w:val="006802CF"/>
    <w:rsid w:val="00684D38"/>
    <w:rsid w:val="00685045"/>
    <w:rsid w:val="00685330"/>
    <w:rsid w:val="00685610"/>
    <w:rsid w:val="00685B9A"/>
    <w:rsid w:val="00685CC6"/>
    <w:rsid w:val="00685E95"/>
    <w:rsid w:val="0068656A"/>
    <w:rsid w:val="00686CE5"/>
    <w:rsid w:val="00690458"/>
    <w:rsid w:val="00690C83"/>
    <w:rsid w:val="00692F81"/>
    <w:rsid w:val="00694CAC"/>
    <w:rsid w:val="00696E74"/>
    <w:rsid w:val="006A0229"/>
    <w:rsid w:val="006A0E29"/>
    <w:rsid w:val="006A1928"/>
    <w:rsid w:val="006A4A04"/>
    <w:rsid w:val="006A5645"/>
    <w:rsid w:val="006A5B51"/>
    <w:rsid w:val="006A7E00"/>
    <w:rsid w:val="006B248C"/>
    <w:rsid w:val="006B5F53"/>
    <w:rsid w:val="006B61B1"/>
    <w:rsid w:val="006B63BE"/>
    <w:rsid w:val="006B6A24"/>
    <w:rsid w:val="006B7783"/>
    <w:rsid w:val="006C2F70"/>
    <w:rsid w:val="006C3119"/>
    <w:rsid w:val="006C4DE6"/>
    <w:rsid w:val="006C6321"/>
    <w:rsid w:val="006C68A1"/>
    <w:rsid w:val="006C6E4B"/>
    <w:rsid w:val="006D0009"/>
    <w:rsid w:val="006D020D"/>
    <w:rsid w:val="006D1603"/>
    <w:rsid w:val="006D2861"/>
    <w:rsid w:val="006D3B1B"/>
    <w:rsid w:val="006D517A"/>
    <w:rsid w:val="006D52A5"/>
    <w:rsid w:val="006D5530"/>
    <w:rsid w:val="006D5D8E"/>
    <w:rsid w:val="006D5F30"/>
    <w:rsid w:val="006D7DB6"/>
    <w:rsid w:val="006E0033"/>
    <w:rsid w:val="006E144B"/>
    <w:rsid w:val="006E1C71"/>
    <w:rsid w:val="006E1D96"/>
    <w:rsid w:val="006E26D1"/>
    <w:rsid w:val="006E2C71"/>
    <w:rsid w:val="006E39EE"/>
    <w:rsid w:val="006E4603"/>
    <w:rsid w:val="006E4B18"/>
    <w:rsid w:val="006E564D"/>
    <w:rsid w:val="006E5766"/>
    <w:rsid w:val="006E5CF5"/>
    <w:rsid w:val="006E5F83"/>
    <w:rsid w:val="006E5FC9"/>
    <w:rsid w:val="006E6B7A"/>
    <w:rsid w:val="006E6F5E"/>
    <w:rsid w:val="006F0EC0"/>
    <w:rsid w:val="006F127A"/>
    <w:rsid w:val="006F3C8B"/>
    <w:rsid w:val="006F54FF"/>
    <w:rsid w:val="006F57FF"/>
    <w:rsid w:val="006F5F63"/>
    <w:rsid w:val="006F62DD"/>
    <w:rsid w:val="006F63D3"/>
    <w:rsid w:val="006F6D5E"/>
    <w:rsid w:val="00702005"/>
    <w:rsid w:val="00704C19"/>
    <w:rsid w:val="00704E80"/>
    <w:rsid w:val="007051DB"/>
    <w:rsid w:val="0070530E"/>
    <w:rsid w:val="007075BF"/>
    <w:rsid w:val="0071068B"/>
    <w:rsid w:val="007124BE"/>
    <w:rsid w:val="00712EDA"/>
    <w:rsid w:val="00713634"/>
    <w:rsid w:val="00714257"/>
    <w:rsid w:val="00714A58"/>
    <w:rsid w:val="00714AF5"/>
    <w:rsid w:val="00714E3E"/>
    <w:rsid w:val="00714EE1"/>
    <w:rsid w:val="00716031"/>
    <w:rsid w:val="00716135"/>
    <w:rsid w:val="00720985"/>
    <w:rsid w:val="00720A1D"/>
    <w:rsid w:val="007210C2"/>
    <w:rsid w:val="007216A7"/>
    <w:rsid w:val="0072182D"/>
    <w:rsid w:val="007219CE"/>
    <w:rsid w:val="00722FD4"/>
    <w:rsid w:val="00726254"/>
    <w:rsid w:val="00731878"/>
    <w:rsid w:val="0073290C"/>
    <w:rsid w:val="00735BA1"/>
    <w:rsid w:val="00736876"/>
    <w:rsid w:val="00736D91"/>
    <w:rsid w:val="00736DE9"/>
    <w:rsid w:val="007378BC"/>
    <w:rsid w:val="00741159"/>
    <w:rsid w:val="0074118D"/>
    <w:rsid w:val="007419C1"/>
    <w:rsid w:val="00741AC2"/>
    <w:rsid w:val="00741FEF"/>
    <w:rsid w:val="007427FD"/>
    <w:rsid w:val="007451F5"/>
    <w:rsid w:val="007462F3"/>
    <w:rsid w:val="007516C0"/>
    <w:rsid w:val="00751B99"/>
    <w:rsid w:val="007521B2"/>
    <w:rsid w:val="00753B6C"/>
    <w:rsid w:val="00755920"/>
    <w:rsid w:val="00756AE6"/>
    <w:rsid w:val="0076006E"/>
    <w:rsid w:val="00760A1B"/>
    <w:rsid w:val="00763565"/>
    <w:rsid w:val="00764F4B"/>
    <w:rsid w:val="007659EE"/>
    <w:rsid w:val="0076742E"/>
    <w:rsid w:val="00767C43"/>
    <w:rsid w:val="007702CA"/>
    <w:rsid w:val="00772BA8"/>
    <w:rsid w:val="007753FC"/>
    <w:rsid w:val="00775613"/>
    <w:rsid w:val="00777C0B"/>
    <w:rsid w:val="00780F5D"/>
    <w:rsid w:val="00781802"/>
    <w:rsid w:val="00782643"/>
    <w:rsid w:val="00784429"/>
    <w:rsid w:val="00790B05"/>
    <w:rsid w:val="00791318"/>
    <w:rsid w:val="00791932"/>
    <w:rsid w:val="00791C61"/>
    <w:rsid w:val="00791FA8"/>
    <w:rsid w:val="00794584"/>
    <w:rsid w:val="007961DC"/>
    <w:rsid w:val="00796871"/>
    <w:rsid w:val="007A06C0"/>
    <w:rsid w:val="007A5763"/>
    <w:rsid w:val="007A5BB3"/>
    <w:rsid w:val="007A66EE"/>
    <w:rsid w:val="007A71B8"/>
    <w:rsid w:val="007A7998"/>
    <w:rsid w:val="007B152E"/>
    <w:rsid w:val="007B43D3"/>
    <w:rsid w:val="007B5743"/>
    <w:rsid w:val="007B58FC"/>
    <w:rsid w:val="007B5BAC"/>
    <w:rsid w:val="007B6B5A"/>
    <w:rsid w:val="007B7194"/>
    <w:rsid w:val="007B7F79"/>
    <w:rsid w:val="007C04EE"/>
    <w:rsid w:val="007C14CB"/>
    <w:rsid w:val="007C316E"/>
    <w:rsid w:val="007C4699"/>
    <w:rsid w:val="007C491A"/>
    <w:rsid w:val="007C4C71"/>
    <w:rsid w:val="007C536B"/>
    <w:rsid w:val="007C58E3"/>
    <w:rsid w:val="007C680C"/>
    <w:rsid w:val="007D1E83"/>
    <w:rsid w:val="007D229B"/>
    <w:rsid w:val="007D25F1"/>
    <w:rsid w:val="007D26FA"/>
    <w:rsid w:val="007D2F0A"/>
    <w:rsid w:val="007D675A"/>
    <w:rsid w:val="007E11CF"/>
    <w:rsid w:val="007E4172"/>
    <w:rsid w:val="007E4959"/>
    <w:rsid w:val="007E4ECA"/>
    <w:rsid w:val="007E5321"/>
    <w:rsid w:val="007E78B3"/>
    <w:rsid w:val="007F0BFB"/>
    <w:rsid w:val="007F2AA0"/>
    <w:rsid w:val="007F39ED"/>
    <w:rsid w:val="007F49DA"/>
    <w:rsid w:val="007F6376"/>
    <w:rsid w:val="007F7D37"/>
    <w:rsid w:val="0080138E"/>
    <w:rsid w:val="00801E3F"/>
    <w:rsid w:val="0080237F"/>
    <w:rsid w:val="0080291E"/>
    <w:rsid w:val="0080351D"/>
    <w:rsid w:val="00806212"/>
    <w:rsid w:val="008064F0"/>
    <w:rsid w:val="00810DF4"/>
    <w:rsid w:val="00810F61"/>
    <w:rsid w:val="008120CC"/>
    <w:rsid w:val="00814C89"/>
    <w:rsid w:val="008151DF"/>
    <w:rsid w:val="00815407"/>
    <w:rsid w:val="00815EC0"/>
    <w:rsid w:val="00817042"/>
    <w:rsid w:val="008179BD"/>
    <w:rsid w:val="00820BB5"/>
    <w:rsid w:val="00820E68"/>
    <w:rsid w:val="00822909"/>
    <w:rsid w:val="00822ED6"/>
    <w:rsid w:val="008230FF"/>
    <w:rsid w:val="00824442"/>
    <w:rsid w:val="00825579"/>
    <w:rsid w:val="00827F0E"/>
    <w:rsid w:val="0083151E"/>
    <w:rsid w:val="00831A51"/>
    <w:rsid w:val="00831B67"/>
    <w:rsid w:val="00831BCC"/>
    <w:rsid w:val="00834818"/>
    <w:rsid w:val="008356B2"/>
    <w:rsid w:val="00835B5D"/>
    <w:rsid w:val="00836CCA"/>
    <w:rsid w:val="0084462A"/>
    <w:rsid w:val="00844A88"/>
    <w:rsid w:val="008456EA"/>
    <w:rsid w:val="00846E68"/>
    <w:rsid w:val="00852B5E"/>
    <w:rsid w:val="00855BB0"/>
    <w:rsid w:val="008560EF"/>
    <w:rsid w:val="00856709"/>
    <w:rsid w:val="008603CE"/>
    <w:rsid w:val="008621CE"/>
    <w:rsid w:val="0086221F"/>
    <w:rsid w:val="008623E4"/>
    <w:rsid w:val="00863C76"/>
    <w:rsid w:val="00865117"/>
    <w:rsid w:val="00865962"/>
    <w:rsid w:val="00866F4C"/>
    <w:rsid w:val="00867278"/>
    <w:rsid w:val="00870C28"/>
    <w:rsid w:val="008712EA"/>
    <w:rsid w:val="008718B4"/>
    <w:rsid w:val="008723F9"/>
    <w:rsid w:val="00872927"/>
    <w:rsid w:val="00881FFA"/>
    <w:rsid w:val="0088261A"/>
    <w:rsid w:val="00885CCA"/>
    <w:rsid w:val="00886809"/>
    <w:rsid w:val="00886B1D"/>
    <w:rsid w:val="00887787"/>
    <w:rsid w:val="00892ECE"/>
    <w:rsid w:val="00896979"/>
    <w:rsid w:val="008A0222"/>
    <w:rsid w:val="008A05F2"/>
    <w:rsid w:val="008A07CF"/>
    <w:rsid w:val="008A0913"/>
    <w:rsid w:val="008A3B84"/>
    <w:rsid w:val="008A3FCC"/>
    <w:rsid w:val="008A4C0F"/>
    <w:rsid w:val="008A68C9"/>
    <w:rsid w:val="008A7A41"/>
    <w:rsid w:val="008B140A"/>
    <w:rsid w:val="008B22D6"/>
    <w:rsid w:val="008B3045"/>
    <w:rsid w:val="008B3549"/>
    <w:rsid w:val="008B4BA6"/>
    <w:rsid w:val="008B6C8D"/>
    <w:rsid w:val="008B6D5E"/>
    <w:rsid w:val="008C25B5"/>
    <w:rsid w:val="008C357F"/>
    <w:rsid w:val="008C40AF"/>
    <w:rsid w:val="008C575A"/>
    <w:rsid w:val="008C58EC"/>
    <w:rsid w:val="008C59D4"/>
    <w:rsid w:val="008C729C"/>
    <w:rsid w:val="008C7F2E"/>
    <w:rsid w:val="008D3148"/>
    <w:rsid w:val="008D33EC"/>
    <w:rsid w:val="008D3575"/>
    <w:rsid w:val="008D49CF"/>
    <w:rsid w:val="008D5309"/>
    <w:rsid w:val="008D57D8"/>
    <w:rsid w:val="008D66DB"/>
    <w:rsid w:val="008D7955"/>
    <w:rsid w:val="008E064D"/>
    <w:rsid w:val="008E1B8B"/>
    <w:rsid w:val="008E5A66"/>
    <w:rsid w:val="008E614A"/>
    <w:rsid w:val="008E680D"/>
    <w:rsid w:val="008F035E"/>
    <w:rsid w:val="008F0AD8"/>
    <w:rsid w:val="008F4D76"/>
    <w:rsid w:val="008F7913"/>
    <w:rsid w:val="00900962"/>
    <w:rsid w:val="00901D25"/>
    <w:rsid w:val="00902F95"/>
    <w:rsid w:val="0090358C"/>
    <w:rsid w:val="00910856"/>
    <w:rsid w:val="00913C42"/>
    <w:rsid w:val="00914019"/>
    <w:rsid w:val="00914498"/>
    <w:rsid w:val="00915310"/>
    <w:rsid w:val="00915990"/>
    <w:rsid w:val="00916005"/>
    <w:rsid w:val="00916465"/>
    <w:rsid w:val="00916FC7"/>
    <w:rsid w:val="0092461B"/>
    <w:rsid w:val="00924B36"/>
    <w:rsid w:val="00926D16"/>
    <w:rsid w:val="0092715B"/>
    <w:rsid w:val="00927369"/>
    <w:rsid w:val="00927424"/>
    <w:rsid w:val="00927720"/>
    <w:rsid w:val="009301B7"/>
    <w:rsid w:val="00931177"/>
    <w:rsid w:val="00933126"/>
    <w:rsid w:val="009353CF"/>
    <w:rsid w:val="00935CA4"/>
    <w:rsid w:val="00936AFD"/>
    <w:rsid w:val="00936B5A"/>
    <w:rsid w:val="00936DC2"/>
    <w:rsid w:val="00937EC0"/>
    <w:rsid w:val="00940013"/>
    <w:rsid w:val="00940A13"/>
    <w:rsid w:val="00941067"/>
    <w:rsid w:val="009426A2"/>
    <w:rsid w:val="009431C7"/>
    <w:rsid w:val="009443F9"/>
    <w:rsid w:val="00945AC4"/>
    <w:rsid w:val="00947FB8"/>
    <w:rsid w:val="00951ED0"/>
    <w:rsid w:val="00952CB9"/>
    <w:rsid w:val="00953449"/>
    <w:rsid w:val="0095401E"/>
    <w:rsid w:val="00955272"/>
    <w:rsid w:val="00955465"/>
    <w:rsid w:val="0095659F"/>
    <w:rsid w:val="0095700F"/>
    <w:rsid w:val="00963EBC"/>
    <w:rsid w:val="00970479"/>
    <w:rsid w:val="00970C46"/>
    <w:rsid w:val="00970CD1"/>
    <w:rsid w:val="009712A7"/>
    <w:rsid w:val="009778D5"/>
    <w:rsid w:val="0098285F"/>
    <w:rsid w:val="00985E4C"/>
    <w:rsid w:val="00987A27"/>
    <w:rsid w:val="00987DC7"/>
    <w:rsid w:val="00987FBD"/>
    <w:rsid w:val="009906E4"/>
    <w:rsid w:val="0099152F"/>
    <w:rsid w:val="00991970"/>
    <w:rsid w:val="00991EFC"/>
    <w:rsid w:val="00992BB3"/>
    <w:rsid w:val="00993458"/>
    <w:rsid w:val="00995A6C"/>
    <w:rsid w:val="00996092"/>
    <w:rsid w:val="009975A6"/>
    <w:rsid w:val="00997D18"/>
    <w:rsid w:val="009A0D1E"/>
    <w:rsid w:val="009A2157"/>
    <w:rsid w:val="009A246D"/>
    <w:rsid w:val="009A434B"/>
    <w:rsid w:val="009A4AAF"/>
    <w:rsid w:val="009A62D3"/>
    <w:rsid w:val="009A6DEA"/>
    <w:rsid w:val="009A72BE"/>
    <w:rsid w:val="009B09FC"/>
    <w:rsid w:val="009B1590"/>
    <w:rsid w:val="009B2493"/>
    <w:rsid w:val="009B2760"/>
    <w:rsid w:val="009B40FC"/>
    <w:rsid w:val="009B44F9"/>
    <w:rsid w:val="009B49AE"/>
    <w:rsid w:val="009B5783"/>
    <w:rsid w:val="009B594B"/>
    <w:rsid w:val="009B7A61"/>
    <w:rsid w:val="009C24D3"/>
    <w:rsid w:val="009C5ACB"/>
    <w:rsid w:val="009C692C"/>
    <w:rsid w:val="009D0CE1"/>
    <w:rsid w:val="009D24A0"/>
    <w:rsid w:val="009D2A85"/>
    <w:rsid w:val="009D34A4"/>
    <w:rsid w:val="009D5489"/>
    <w:rsid w:val="009D7873"/>
    <w:rsid w:val="009E005F"/>
    <w:rsid w:val="009E01BC"/>
    <w:rsid w:val="009E0466"/>
    <w:rsid w:val="009E1197"/>
    <w:rsid w:val="009E188C"/>
    <w:rsid w:val="009E2E90"/>
    <w:rsid w:val="009E2F0C"/>
    <w:rsid w:val="009E4F82"/>
    <w:rsid w:val="009E5193"/>
    <w:rsid w:val="009E5B6F"/>
    <w:rsid w:val="009E777A"/>
    <w:rsid w:val="009E7A71"/>
    <w:rsid w:val="009E7D0D"/>
    <w:rsid w:val="009F051A"/>
    <w:rsid w:val="009F2098"/>
    <w:rsid w:val="009F2A0C"/>
    <w:rsid w:val="009F34E4"/>
    <w:rsid w:val="009F4AC1"/>
    <w:rsid w:val="009F61F2"/>
    <w:rsid w:val="009F6AFD"/>
    <w:rsid w:val="009F7939"/>
    <w:rsid w:val="00A00219"/>
    <w:rsid w:val="00A016F9"/>
    <w:rsid w:val="00A01A89"/>
    <w:rsid w:val="00A043CE"/>
    <w:rsid w:val="00A04438"/>
    <w:rsid w:val="00A06880"/>
    <w:rsid w:val="00A11307"/>
    <w:rsid w:val="00A14684"/>
    <w:rsid w:val="00A15DE0"/>
    <w:rsid w:val="00A16B79"/>
    <w:rsid w:val="00A20795"/>
    <w:rsid w:val="00A20B77"/>
    <w:rsid w:val="00A20E92"/>
    <w:rsid w:val="00A21232"/>
    <w:rsid w:val="00A21C70"/>
    <w:rsid w:val="00A22AD0"/>
    <w:rsid w:val="00A23CF0"/>
    <w:rsid w:val="00A24B77"/>
    <w:rsid w:val="00A24C80"/>
    <w:rsid w:val="00A24DCB"/>
    <w:rsid w:val="00A258F6"/>
    <w:rsid w:val="00A26D9B"/>
    <w:rsid w:val="00A305CE"/>
    <w:rsid w:val="00A32167"/>
    <w:rsid w:val="00A346DC"/>
    <w:rsid w:val="00A35CDC"/>
    <w:rsid w:val="00A37037"/>
    <w:rsid w:val="00A37FCA"/>
    <w:rsid w:val="00A40CF3"/>
    <w:rsid w:val="00A40FD6"/>
    <w:rsid w:val="00A42C88"/>
    <w:rsid w:val="00A4312F"/>
    <w:rsid w:val="00A447F6"/>
    <w:rsid w:val="00A45634"/>
    <w:rsid w:val="00A460D2"/>
    <w:rsid w:val="00A467C1"/>
    <w:rsid w:val="00A47042"/>
    <w:rsid w:val="00A478CC"/>
    <w:rsid w:val="00A53039"/>
    <w:rsid w:val="00A56D92"/>
    <w:rsid w:val="00A60AA6"/>
    <w:rsid w:val="00A6198A"/>
    <w:rsid w:val="00A64B83"/>
    <w:rsid w:val="00A66ADE"/>
    <w:rsid w:val="00A67156"/>
    <w:rsid w:val="00A70BCD"/>
    <w:rsid w:val="00A712BD"/>
    <w:rsid w:val="00A72298"/>
    <w:rsid w:val="00A74CE3"/>
    <w:rsid w:val="00A77365"/>
    <w:rsid w:val="00A77C50"/>
    <w:rsid w:val="00A77DFA"/>
    <w:rsid w:val="00A8015F"/>
    <w:rsid w:val="00A8088F"/>
    <w:rsid w:val="00A833DE"/>
    <w:rsid w:val="00A848B0"/>
    <w:rsid w:val="00A84DA2"/>
    <w:rsid w:val="00A86DFA"/>
    <w:rsid w:val="00A87205"/>
    <w:rsid w:val="00A87A5C"/>
    <w:rsid w:val="00A87B92"/>
    <w:rsid w:val="00A87EE5"/>
    <w:rsid w:val="00A90BE4"/>
    <w:rsid w:val="00A91744"/>
    <w:rsid w:val="00A920DA"/>
    <w:rsid w:val="00A921F2"/>
    <w:rsid w:val="00A92A50"/>
    <w:rsid w:val="00A93329"/>
    <w:rsid w:val="00A9380B"/>
    <w:rsid w:val="00A96917"/>
    <w:rsid w:val="00A96A77"/>
    <w:rsid w:val="00A97057"/>
    <w:rsid w:val="00A972BB"/>
    <w:rsid w:val="00AA1D80"/>
    <w:rsid w:val="00AA31DA"/>
    <w:rsid w:val="00AA448E"/>
    <w:rsid w:val="00AA76DF"/>
    <w:rsid w:val="00AB1AF6"/>
    <w:rsid w:val="00AB213A"/>
    <w:rsid w:val="00AB36DA"/>
    <w:rsid w:val="00AB5D91"/>
    <w:rsid w:val="00AB63C7"/>
    <w:rsid w:val="00AB6B3B"/>
    <w:rsid w:val="00AC0B0B"/>
    <w:rsid w:val="00AC2254"/>
    <w:rsid w:val="00AC229A"/>
    <w:rsid w:val="00AC2D23"/>
    <w:rsid w:val="00AC64F8"/>
    <w:rsid w:val="00AD15DD"/>
    <w:rsid w:val="00AD1784"/>
    <w:rsid w:val="00AD1BA8"/>
    <w:rsid w:val="00AD301B"/>
    <w:rsid w:val="00AD405B"/>
    <w:rsid w:val="00AD5D17"/>
    <w:rsid w:val="00AD6DF2"/>
    <w:rsid w:val="00AE0727"/>
    <w:rsid w:val="00AE3BB6"/>
    <w:rsid w:val="00AE62BA"/>
    <w:rsid w:val="00AE62DE"/>
    <w:rsid w:val="00AE725F"/>
    <w:rsid w:val="00AE7DA1"/>
    <w:rsid w:val="00AE7EE0"/>
    <w:rsid w:val="00AF4ADA"/>
    <w:rsid w:val="00AF4DC0"/>
    <w:rsid w:val="00AF6A9A"/>
    <w:rsid w:val="00AF7A00"/>
    <w:rsid w:val="00B00184"/>
    <w:rsid w:val="00B01E24"/>
    <w:rsid w:val="00B021D4"/>
    <w:rsid w:val="00B032FA"/>
    <w:rsid w:val="00B044FE"/>
    <w:rsid w:val="00B04BE9"/>
    <w:rsid w:val="00B05A88"/>
    <w:rsid w:val="00B10606"/>
    <w:rsid w:val="00B125BF"/>
    <w:rsid w:val="00B155A2"/>
    <w:rsid w:val="00B16431"/>
    <w:rsid w:val="00B202CF"/>
    <w:rsid w:val="00B20937"/>
    <w:rsid w:val="00B2241D"/>
    <w:rsid w:val="00B24000"/>
    <w:rsid w:val="00B2514B"/>
    <w:rsid w:val="00B25970"/>
    <w:rsid w:val="00B25F1B"/>
    <w:rsid w:val="00B300C4"/>
    <w:rsid w:val="00B309FD"/>
    <w:rsid w:val="00B31C98"/>
    <w:rsid w:val="00B35311"/>
    <w:rsid w:val="00B356CB"/>
    <w:rsid w:val="00B36998"/>
    <w:rsid w:val="00B36D9A"/>
    <w:rsid w:val="00B377CD"/>
    <w:rsid w:val="00B37BA4"/>
    <w:rsid w:val="00B37EAC"/>
    <w:rsid w:val="00B40645"/>
    <w:rsid w:val="00B41B46"/>
    <w:rsid w:val="00B42962"/>
    <w:rsid w:val="00B432AC"/>
    <w:rsid w:val="00B43C38"/>
    <w:rsid w:val="00B43D29"/>
    <w:rsid w:val="00B44B5B"/>
    <w:rsid w:val="00B46106"/>
    <w:rsid w:val="00B469EB"/>
    <w:rsid w:val="00B50B7D"/>
    <w:rsid w:val="00B5164E"/>
    <w:rsid w:val="00B526F4"/>
    <w:rsid w:val="00B52FA0"/>
    <w:rsid w:val="00B53404"/>
    <w:rsid w:val="00B54168"/>
    <w:rsid w:val="00B54273"/>
    <w:rsid w:val="00B5516B"/>
    <w:rsid w:val="00B5727A"/>
    <w:rsid w:val="00B57535"/>
    <w:rsid w:val="00B57E97"/>
    <w:rsid w:val="00B6086D"/>
    <w:rsid w:val="00B611C6"/>
    <w:rsid w:val="00B61618"/>
    <w:rsid w:val="00B61B02"/>
    <w:rsid w:val="00B61B78"/>
    <w:rsid w:val="00B62B0A"/>
    <w:rsid w:val="00B64060"/>
    <w:rsid w:val="00B642BC"/>
    <w:rsid w:val="00B64C31"/>
    <w:rsid w:val="00B64CA7"/>
    <w:rsid w:val="00B65C2A"/>
    <w:rsid w:val="00B66225"/>
    <w:rsid w:val="00B66914"/>
    <w:rsid w:val="00B70C6A"/>
    <w:rsid w:val="00B71B2A"/>
    <w:rsid w:val="00B729F3"/>
    <w:rsid w:val="00B731ED"/>
    <w:rsid w:val="00B73875"/>
    <w:rsid w:val="00B75AB6"/>
    <w:rsid w:val="00B7692A"/>
    <w:rsid w:val="00B82262"/>
    <w:rsid w:val="00B8251B"/>
    <w:rsid w:val="00B85C6A"/>
    <w:rsid w:val="00B86B44"/>
    <w:rsid w:val="00B878D8"/>
    <w:rsid w:val="00B87A96"/>
    <w:rsid w:val="00B87C55"/>
    <w:rsid w:val="00B906D9"/>
    <w:rsid w:val="00B93569"/>
    <w:rsid w:val="00B950EE"/>
    <w:rsid w:val="00B96E87"/>
    <w:rsid w:val="00BA134D"/>
    <w:rsid w:val="00BA13F2"/>
    <w:rsid w:val="00BA1420"/>
    <w:rsid w:val="00BA221F"/>
    <w:rsid w:val="00BA2240"/>
    <w:rsid w:val="00BA2646"/>
    <w:rsid w:val="00BA3C71"/>
    <w:rsid w:val="00BA5F31"/>
    <w:rsid w:val="00BB08BF"/>
    <w:rsid w:val="00BB2551"/>
    <w:rsid w:val="00BB3C39"/>
    <w:rsid w:val="00BB3C4F"/>
    <w:rsid w:val="00BB3D1F"/>
    <w:rsid w:val="00BB3E3F"/>
    <w:rsid w:val="00BB56E5"/>
    <w:rsid w:val="00BB608E"/>
    <w:rsid w:val="00BB7004"/>
    <w:rsid w:val="00BC01CB"/>
    <w:rsid w:val="00BC045A"/>
    <w:rsid w:val="00BC0823"/>
    <w:rsid w:val="00BC0AB0"/>
    <w:rsid w:val="00BC256F"/>
    <w:rsid w:val="00BC275C"/>
    <w:rsid w:val="00BC2A05"/>
    <w:rsid w:val="00BC2E2D"/>
    <w:rsid w:val="00BC31AB"/>
    <w:rsid w:val="00BC52BA"/>
    <w:rsid w:val="00BC5398"/>
    <w:rsid w:val="00BC5880"/>
    <w:rsid w:val="00BC5FC1"/>
    <w:rsid w:val="00BC7873"/>
    <w:rsid w:val="00BD0AF6"/>
    <w:rsid w:val="00BD1754"/>
    <w:rsid w:val="00BD2805"/>
    <w:rsid w:val="00BD33B0"/>
    <w:rsid w:val="00BD3BA4"/>
    <w:rsid w:val="00BD44BF"/>
    <w:rsid w:val="00BD504C"/>
    <w:rsid w:val="00BD60D9"/>
    <w:rsid w:val="00BD6EDF"/>
    <w:rsid w:val="00BE0F54"/>
    <w:rsid w:val="00BE1FC3"/>
    <w:rsid w:val="00BE232C"/>
    <w:rsid w:val="00BE356F"/>
    <w:rsid w:val="00BE5411"/>
    <w:rsid w:val="00BF06E9"/>
    <w:rsid w:val="00BF26CF"/>
    <w:rsid w:val="00BF3091"/>
    <w:rsid w:val="00BF449C"/>
    <w:rsid w:val="00BF5850"/>
    <w:rsid w:val="00BF61FD"/>
    <w:rsid w:val="00BF7586"/>
    <w:rsid w:val="00C0327B"/>
    <w:rsid w:val="00C05443"/>
    <w:rsid w:val="00C06F90"/>
    <w:rsid w:val="00C07159"/>
    <w:rsid w:val="00C07CE8"/>
    <w:rsid w:val="00C1006A"/>
    <w:rsid w:val="00C10662"/>
    <w:rsid w:val="00C13D38"/>
    <w:rsid w:val="00C13F2C"/>
    <w:rsid w:val="00C1527A"/>
    <w:rsid w:val="00C16DCE"/>
    <w:rsid w:val="00C17F29"/>
    <w:rsid w:val="00C200D9"/>
    <w:rsid w:val="00C2141D"/>
    <w:rsid w:val="00C235AF"/>
    <w:rsid w:val="00C23603"/>
    <w:rsid w:val="00C2452A"/>
    <w:rsid w:val="00C24AAB"/>
    <w:rsid w:val="00C25693"/>
    <w:rsid w:val="00C2580E"/>
    <w:rsid w:val="00C26BF3"/>
    <w:rsid w:val="00C27D57"/>
    <w:rsid w:val="00C27DE0"/>
    <w:rsid w:val="00C3159F"/>
    <w:rsid w:val="00C31AB4"/>
    <w:rsid w:val="00C33D66"/>
    <w:rsid w:val="00C34041"/>
    <w:rsid w:val="00C34066"/>
    <w:rsid w:val="00C34B1C"/>
    <w:rsid w:val="00C35175"/>
    <w:rsid w:val="00C359DF"/>
    <w:rsid w:val="00C35C97"/>
    <w:rsid w:val="00C365DF"/>
    <w:rsid w:val="00C36D26"/>
    <w:rsid w:val="00C37180"/>
    <w:rsid w:val="00C37443"/>
    <w:rsid w:val="00C37721"/>
    <w:rsid w:val="00C3784A"/>
    <w:rsid w:val="00C400CD"/>
    <w:rsid w:val="00C41160"/>
    <w:rsid w:val="00C4268F"/>
    <w:rsid w:val="00C457CD"/>
    <w:rsid w:val="00C501BF"/>
    <w:rsid w:val="00C50DAB"/>
    <w:rsid w:val="00C518A7"/>
    <w:rsid w:val="00C54FB5"/>
    <w:rsid w:val="00C570D4"/>
    <w:rsid w:val="00C604FD"/>
    <w:rsid w:val="00C6271F"/>
    <w:rsid w:val="00C628F6"/>
    <w:rsid w:val="00C649D2"/>
    <w:rsid w:val="00C64C70"/>
    <w:rsid w:val="00C66834"/>
    <w:rsid w:val="00C6762A"/>
    <w:rsid w:val="00C67F28"/>
    <w:rsid w:val="00C70A59"/>
    <w:rsid w:val="00C72EF2"/>
    <w:rsid w:val="00C73A0B"/>
    <w:rsid w:val="00C74194"/>
    <w:rsid w:val="00C74C02"/>
    <w:rsid w:val="00C757DF"/>
    <w:rsid w:val="00C75949"/>
    <w:rsid w:val="00C7678B"/>
    <w:rsid w:val="00C77B92"/>
    <w:rsid w:val="00C80CC2"/>
    <w:rsid w:val="00C81891"/>
    <w:rsid w:val="00C83040"/>
    <w:rsid w:val="00C833B3"/>
    <w:rsid w:val="00C847EE"/>
    <w:rsid w:val="00C86CD5"/>
    <w:rsid w:val="00C87F00"/>
    <w:rsid w:val="00C91A34"/>
    <w:rsid w:val="00C91CA4"/>
    <w:rsid w:val="00C93DAC"/>
    <w:rsid w:val="00C9434C"/>
    <w:rsid w:val="00C9556F"/>
    <w:rsid w:val="00C963E7"/>
    <w:rsid w:val="00CA08BC"/>
    <w:rsid w:val="00CA0DEF"/>
    <w:rsid w:val="00CA14B4"/>
    <w:rsid w:val="00CA1BE3"/>
    <w:rsid w:val="00CA3132"/>
    <w:rsid w:val="00CA370A"/>
    <w:rsid w:val="00CA58CE"/>
    <w:rsid w:val="00CA59D3"/>
    <w:rsid w:val="00CA6C6A"/>
    <w:rsid w:val="00CA7AE4"/>
    <w:rsid w:val="00CB251F"/>
    <w:rsid w:val="00CB36A3"/>
    <w:rsid w:val="00CB47FD"/>
    <w:rsid w:val="00CB49DD"/>
    <w:rsid w:val="00CB6D26"/>
    <w:rsid w:val="00CB6F07"/>
    <w:rsid w:val="00CB7383"/>
    <w:rsid w:val="00CB7444"/>
    <w:rsid w:val="00CB785D"/>
    <w:rsid w:val="00CC0C8E"/>
    <w:rsid w:val="00CC0DC1"/>
    <w:rsid w:val="00CC1075"/>
    <w:rsid w:val="00CC5DFD"/>
    <w:rsid w:val="00CC5E25"/>
    <w:rsid w:val="00CD031B"/>
    <w:rsid w:val="00CD06C5"/>
    <w:rsid w:val="00CD328D"/>
    <w:rsid w:val="00CD34BA"/>
    <w:rsid w:val="00CD3DD5"/>
    <w:rsid w:val="00CD689F"/>
    <w:rsid w:val="00CD6B60"/>
    <w:rsid w:val="00CD70DC"/>
    <w:rsid w:val="00CE0BF6"/>
    <w:rsid w:val="00CE17B8"/>
    <w:rsid w:val="00CE1F5D"/>
    <w:rsid w:val="00CE23F5"/>
    <w:rsid w:val="00CE5AF0"/>
    <w:rsid w:val="00CE5D87"/>
    <w:rsid w:val="00CE73D0"/>
    <w:rsid w:val="00CF060D"/>
    <w:rsid w:val="00CF30BA"/>
    <w:rsid w:val="00CF36DF"/>
    <w:rsid w:val="00CF3AD8"/>
    <w:rsid w:val="00CF44EB"/>
    <w:rsid w:val="00CF465C"/>
    <w:rsid w:val="00CF49CB"/>
    <w:rsid w:val="00CF4D6A"/>
    <w:rsid w:val="00CF5DAD"/>
    <w:rsid w:val="00CF7D10"/>
    <w:rsid w:val="00D0113E"/>
    <w:rsid w:val="00D03C98"/>
    <w:rsid w:val="00D0404E"/>
    <w:rsid w:val="00D0481C"/>
    <w:rsid w:val="00D05954"/>
    <w:rsid w:val="00D05CA2"/>
    <w:rsid w:val="00D06F3C"/>
    <w:rsid w:val="00D070E3"/>
    <w:rsid w:val="00D075F3"/>
    <w:rsid w:val="00D1422B"/>
    <w:rsid w:val="00D16F69"/>
    <w:rsid w:val="00D1706D"/>
    <w:rsid w:val="00D21D6C"/>
    <w:rsid w:val="00D2346B"/>
    <w:rsid w:val="00D26417"/>
    <w:rsid w:val="00D27648"/>
    <w:rsid w:val="00D306CF"/>
    <w:rsid w:val="00D31532"/>
    <w:rsid w:val="00D368D0"/>
    <w:rsid w:val="00D36AC1"/>
    <w:rsid w:val="00D37098"/>
    <w:rsid w:val="00D378A4"/>
    <w:rsid w:val="00D37F4D"/>
    <w:rsid w:val="00D4034E"/>
    <w:rsid w:val="00D405B5"/>
    <w:rsid w:val="00D420A0"/>
    <w:rsid w:val="00D423DB"/>
    <w:rsid w:val="00D42860"/>
    <w:rsid w:val="00D42B03"/>
    <w:rsid w:val="00D431D4"/>
    <w:rsid w:val="00D45A22"/>
    <w:rsid w:val="00D508C2"/>
    <w:rsid w:val="00D50F62"/>
    <w:rsid w:val="00D51679"/>
    <w:rsid w:val="00D516CB"/>
    <w:rsid w:val="00D53E7D"/>
    <w:rsid w:val="00D53F9A"/>
    <w:rsid w:val="00D55245"/>
    <w:rsid w:val="00D55623"/>
    <w:rsid w:val="00D60DCC"/>
    <w:rsid w:val="00D62620"/>
    <w:rsid w:val="00D635D0"/>
    <w:rsid w:val="00D63B21"/>
    <w:rsid w:val="00D646C8"/>
    <w:rsid w:val="00D64F2C"/>
    <w:rsid w:val="00D65838"/>
    <w:rsid w:val="00D66B71"/>
    <w:rsid w:val="00D71779"/>
    <w:rsid w:val="00D71CAA"/>
    <w:rsid w:val="00D734C8"/>
    <w:rsid w:val="00D735BA"/>
    <w:rsid w:val="00D74004"/>
    <w:rsid w:val="00D75332"/>
    <w:rsid w:val="00D756A3"/>
    <w:rsid w:val="00D758C4"/>
    <w:rsid w:val="00D75900"/>
    <w:rsid w:val="00D76521"/>
    <w:rsid w:val="00D766FB"/>
    <w:rsid w:val="00D7687A"/>
    <w:rsid w:val="00D7792E"/>
    <w:rsid w:val="00D8190F"/>
    <w:rsid w:val="00D82EDC"/>
    <w:rsid w:val="00D830EA"/>
    <w:rsid w:val="00D86169"/>
    <w:rsid w:val="00D868A2"/>
    <w:rsid w:val="00D87799"/>
    <w:rsid w:val="00D877FE"/>
    <w:rsid w:val="00D91798"/>
    <w:rsid w:val="00D939C8"/>
    <w:rsid w:val="00D959C7"/>
    <w:rsid w:val="00D95CEF"/>
    <w:rsid w:val="00D95D35"/>
    <w:rsid w:val="00D97FD5"/>
    <w:rsid w:val="00DA08F3"/>
    <w:rsid w:val="00DA17FC"/>
    <w:rsid w:val="00DA1FB2"/>
    <w:rsid w:val="00DA26F1"/>
    <w:rsid w:val="00DA28AA"/>
    <w:rsid w:val="00DA2FDC"/>
    <w:rsid w:val="00DA3607"/>
    <w:rsid w:val="00DA4003"/>
    <w:rsid w:val="00DA61D2"/>
    <w:rsid w:val="00DA669C"/>
    <w:rsid w:val="00DB1E17"/>
    <w:rsid w:val="00DB4768"/>
    <w:rsid w:val="00DB5C05"/>
    <w:rsid w:val="00DC0083"/>
    <w:rsid w:val="00DC1B5A"/>
    <w:rsid w:val="00DC7402"/>
    <w:rsid w:val="00DC7B52"/>
    <w:rsid w:val="00DD0AFD"/>
    <w:rsid w:val="00DD1176"/>
    <w:rsid w:val="00DD292F"/>
    <w:rsid w:val="00DD2CFB"/>
    <w:rsid w:val="00DD3F7B"/>
    <w:rsid w:val="00DD44BE"/>
    <w:rsid w:val="00DE0A28"/>
    <w:rsid w:val="00DE0E94"/>
    <w:rsid w:val="00DE1BC3"/>
    <w:rsid w:val="00DE2095"/>
    <w:rsid w:val="00DE2D83"/>
    <w:rsid w:val="00DE38BA"/>
    <w:rsid w:val="00DE583F"/>
    <w:rsid w:val="00DE75EA"/>
    <w:rsid w:val="00DE7681"/>
    <w:rsid w:val="00DF001C"/>
    <w:rsid w:val="00DF0DA7"/>
    <w:rsid w:val="00DF10CA"/>
    <w:rsid w:val="00DF17FA"/>
    <w:rsid w:val="00DF4BEE"/>
    <w:rsid w:val="00DF7C8C"/>
    <w:rsid w:val="00DF7CA2"/>
    <w:rsid w:val="00E00981"/>
    <w:rsid w:val="00E00B55"/>
    <w:rsid w:val="00E0252C"/>
    <w:rsid w:val="00E05C63"/>
    <w:rsid w:val="00E07B9F"/>
    <w:rsid w:val="00E11862"/>
    <w:rsid w:val="00E11872"/>
    <w:rsid w:val="00E129F2"/>
    <w:rsid w:val="00E15822"/>
    <w:rsid w:val="00E15E04"/>
    <w:rsid w:val="00E17AA6"/>
    <w:rsid w:val="00E20878"/>
    <w:rsid w:val="00E20EF3"/>
    <w:rsid w:val="00E21BB3"/>
    <w:rsid w:val="00E224D3"/>
    <w:rsid w:val="00E2391C"/>
    <w:rsid w:val="00E239F6"/>
    <w:rsid w:val="00E269B2"/>
    <w:rsid w:val="00E26B11"/>
    <w:rsid w:val="00E27832"/>
    <w:rsid w:val="00E27C68"/>
    <w:rsid w:val="00E30981"/>
    <w:rsid w:val="00E32224"/>
    <w:rsid w:val="00E328DF"/>
    <w:rsid w:val="00E32BF6"/>
    <w:rsid w:val="00E35260"/>
    <w:rsid w:val="00E36CC3"/>
    <w:rsid w:val="00E36E52"/>
    <w:rsid w:val="00E3723C"/>
    <w:rsid w:val="00E4039F"/>
    <w:rsid w:val="00E41141"/>
    <w:rsid w:val="00E418A4"/>
    <w:rsid w:val="00E424D4"/>
    <w:rsid w:val="00E42F77"/>
    <w:rsid w:val="00E47E61"/>
    <w:rsid w:val="00E47FA7"/>
    <w:rsid w:val="00E519B0"/>
    <w:rsid w:val="00E5268D"/>
    <w:rsid w:val="00E53630"/>
    <w:rsid w:val="00E53777"/>
    <w:rsid w:val="00E53EE7"/>
    <w:rsid w:val="00E54146"/>
    <w:rsid w:val="00E5584E"/>
    <w:rsid w:val="00E62170"/>
    <w:rsid w:val="00E63706"/>
    <w:rsid w:val="00E6590B"/>
    <w:rsid w:val="00E65CAD"/>
    <w:rsid w:val="00E70D42"/>
    <w:rsid w:val="00E71797"/>
    <w:rsid w:val="00E73285"/>
    <w:rsid w:val="00E76648"/>
    <w:rsid w:val="00E76664"/>
    <w:rsid w:val="00E778E5"/>
    <w:rsid w:val="00E77DA5"/>
    <w:rsid w:val="00E8228A"/>
    <w:rsid w:val="00E83237"/>
    <w:rsid w:val="00E8423A"/>
    <w:rsid w:val="00E84DB8"/>
    <w:rsid w:val="00E8731E"/>
    <w:rsid w:val="00E87B89"/>
    <w:rsid w:val="00E968D4"/>
    <w:rsid w:val="00EA238F"/>
    <w:rsid w:val="00EA24D9"/>
    <w:rsid w:val="00EA43EF"/>
    <w:rsid w:val="00EA4CB6"/>
    <w:rsid w:val="00EA4EE5"/>
    <w:rsid w:val="00EA587A"/>
    <w:rsid w:val="00EA639F"/>
    <w:rsid w:val="00EA7A33"/>
    <w:rsid w:val="00EB11E8"/>
    <w:rsid w:val="00EB12D9"/>
    <w:rsid w:val="00EB39C4"/>
    <w:rsid w:val="00EB678D"/>
    <w:rsid w:val="00EB711D"/>
    <w:rsid w:val="00EB756F"/>
    <w:rsid w:val="00EC07DA"/>
    <w:rsid w:val="00EC211E"/>
    <w:rsid w:val="00EC24E9"/>
    <w:rsid w:val="00EC36DC"/>
    <w:rsid w:val="00EC3D52"/>
    <w:rsid w:val="00EC52CA"/>
    <w:rsid w:val="00EC5BAA"/>
    <w:rsid w:val="00EC62DC"/>
    <w:rsid w:val="00EC70AE"/>
    <w:rsid w:val="00EC741B"/>
    <w:rsid w:val="00ED05E1"/>
    <w:rsid w:val="00ED2370"/>
    <w:rsid w:val="00ED268B"/>
    <w:rsid w:val="00ED4A6B"/>
    <w:rsid w:val="00EE0443"/>
    <w:rsid w:val="00EE1C70"/>
    <w:rsid w:val="00EE1EDA"/>
    <w:rsid w:val="00EE2636"/>
    <w:rsid w:val="00EE2C60"/>
    <w:rsid w:val="00EE4155"/>
    <w:rsid w:val="00EE5F61"/>
    <w:rsid w:val="00EE6940"/>
    <w:rsid w:val="00EF00DD"/>
    <w:rsid w:val="00EF202A"/>
    <w:rsid w:val="00EF6A70"/>
    <w:rsid w:val="00EF7E45"/>
    <w:rsid w:val="00F00B5D"/>
    <w:rsid w:val="00F0309F"/>
    <w:rsid w:val="00F04577"/>
    <w:rsid w:val="00F048EB"/>
    <w:rsid w:val="00F04BB7"/>
    <w:rsid w:val="00F06259"/>
    <w:rsid w:val="00F065A4"/>
    <w:rsid w:val="00F101DF"/>
    <w:rsid w:val="00F11586"/>
    <w:rsid w:val="00F11C03"/>
    <w:rsid w:val="00F125FB"/>
    <w:rsid w:val="00F130E4"/>
    <w:rsid w:val="00F13BF1"/>
    <w:rsid w:val="00F14700"/>
    <w:rsid w:val="00F14877"/>
    <w:rsid w:val="00F14893"/>
    <w:rsid w:val="00F1577D"/>
    <w:rsid w:val="00F15E9A"/>
    <w:rsid w:val="00F2039A"/>
    <w:rsid w:val="00F237EC"/>
    <w:rsid w:val="00F244DF"/>
    <w:rsid w:val="00F24851"/>
    <w:rsid w:val="00F25073"/>
    <w:rsid w:val="00F26F5C"/>
    <w:rsid w:val="00F300D7"/>
    <w:rsid w:val="00F333EF"/>
    <w:rsid w:val="00F35696"/>
    <w:rsid w:val="00F35D0C"/>
    <w:rsid w:val="00F361B4"/>
    <w:rsid w:val="00F364C1"/>
    <w:rsid w:val="00F40BDC"/>
    <w:rsid w:val="00F414BC"/>
    <w:rsid w:val="00F41846"/>
    <w:rsid w:val="00F432F0"/>
    <w:rsid w:val="00F43842"/>
    <w:rsid w:val="00F44618"/>
    <w:rsid w:val="00F47EDF"/>
    <w:rsid w:val="00F528A1"/>
    <w:rsid w:val="00F52D09"/>
    <w:rsid w:val="00F534F7"/>
    <w:rsid w:val="00F5354F"/>
    <w:rsid w:val="00F56B81"/>
    <w:rsid w:val="00F56DB6"/>
    <w:rsid w:val="00F608B8"/>
    <w:rsid w:val="00F61A38"/>
    <w:rsid w:val="00F62842"/>
    <w:rsid w:val="00F62EF0"/>
    <w:rsid w:val="00F63037"/>
    <w:rsid w:val="00F63371"/>
    <w:rsid w:val="00F63D70"/>
    <w:rsid w:val="00F64091"/>
    <w:rsid w:val="00F71829"/>
    <w:rsid w:val="00F71B36"/>
    <w:rsid w:val="00F72608"/>
    <w:rsid w:val="00F733BC"/>
    <w:rsid w:val="00F73F22"/>
    <w:rsid w:val="00F7468D"/>
    <w:rsid w:val="00F77266"/>
    <w:rsid w:val="00F810F3"/>
    <w:rsid w:val="00F81274"/>
    <w:rsid w:val="00F81B5B"/>
    <w:rsid w:val="00F82C25"/>
    <w:rsid w:val="00F83E60"/>
    <w:rsid w:val="00F85060"/>
    <w:rsid w:val="00F850EC"/>
    <w:rsid w:val="00F87528"/>
    <w:rsid w:val="00F90D1F"/>
    <w:rsid w:val="00F91531"/>
    <w:rsid w:val="00F91D7F"/>
    <w:rsid w:val="00F92006"/>
    <w:rsid w:val="00F92328"/>
    <w:rsid w:val="00F93416"/>
    <w:rsid w:val="00F93BE2"/>
    <w:rsid w:val="00F93D2F"/>
    <w:rsid w:val="00F9557C"/>
    <w:rsid w:val="00F96020"/>
    <w:rsid w:val="00F963C8"/>
    <w:rsid w:val="00F97F19"/>
    <w:rsid w:val="00FA2673"/>
    <w:rsid w:val="00FA318B"/>
    <w:rsid w:val="00FA4E04"/>
    <w:rsid w:val="00FA6582"/>
    <w:rsid w:val="00FA6F13"/>
    <w:rsid w:val="00FA7C21"/>
    <w:rsid w:val="00FB01AE"/>
    <w:rsid w:val="00FB0A4D"/>
    <w:rsid w:val="00FB0E99"/>
    <w:rsid w:val="00FB24FB"/>
    <w:rsid w:val="00FB252C"/>
    <w:rsid w:val="00FB26A5"/>
    <w:rsid w:val="00FB2B37"/>
    <w:rsid w:val="00FB4CA2"/>
    <w:rsid w:val="00FB4E55"/>
    <w:rsid w:val="00FB501F"/>
    <w:rsid w:val="00FB51C2"/>
    <w:rsid w:val="00FB6A7F"/>
    <w:rsid w:val="00FB7368"/>
    <w:rsid w:val="00FC06C0"/>
    <w:rsid w:val="00FC07D6"/>
    <w:rsid w:val="00FC08B9"/>
    <w:rsid w:val="00FC244A"/>
    <w:rsid w:val="00FC2853"/>
    <w:rsid w:val="00FC3143"/>
    <w:rsid w:val="00FC4D6D"/>
    <w:rsid w:val="00FC5319"/>
    <w:rsid w:val="00FC57F9"/>
    <w:rsid w:val="00FC5BEB"/>
    <w:rsid w:val="00FC612A"/>
    <w:rsid w:val="00FC7B03"/>
    <w:rsid w:val="00FD294E"/>
    <w:rsid w:val="00FD361B"/>
    <w:rsid w:val="00FD36C9"/>
    <w:rsid w:val="00FD46E2"/>
    <w:rsid w:val="00FD5911"/>
    <w:rsid w:val="00FD60DF"/>
    <w:rsid w:val="00FE0067"/>
    <w:rsid w:val="00FE20D7"/>
    <w:rsid w:val="00FE2201"/>
    <w:rsid w:val="00FE23F2"/>
    <w:rsid w:val="00FE3753"/>
    <w:rsid w:val="00FE37E9"/>
    <w:rsid w:val="00FE6603"/>
    <w:rsid w:val="00FE6949"/>
    <w:rsid w:val="00FE6EB2"/>
    <w:rsid w:val="00FF0D4D"/>
    <w:rsid w:val="00FF4D87"/>
    <w:rsid w:val="00FF5101"/>
    <w:rsid w:val="00FF515D"/>
    <w:rsid w:val="00FF5E3B"/>
    <w:rsid w:val="00FF6858"/>
    <w:rsid w:val="00FF7411"/>
    <w:rsid w:val="00FF7450"/>
    <w:rsid w:val="00FF74A7"/>
    <w:rsid w:val="0C377D06"/>
    <w:rsid w:val="11362FEC"/>
    <w:rsid w:val="15DF00FD"/>
    <w:rsid w:val="16C53B1B"/>
    <w:rsid w:val="1E5810E9"/>
    <w:rsid w:val="1E82575F"/>
    <w:rsid w:val="226D39CA"/>
    <w:rsid w:val="239B0B60"/>
    <w:rsid w:val="270978D9"/>
    <w:rsid w:val="297A34F5"/>
    <w:rsid w:val="2AF13C6B"/>
    <w:rsid w:val="2BD77A68"/>
    <w:rsid w:val="3E595998"/>
    <w:rsid w:val="3E6A71B1"/>
    <w:rsid w:val="4401549E"/>
    <w:rsid w:val="450828AA"/>
    <w:rsid w:val="4A31195C"/>
    <w:rsid w:val="542D45F1"/>
    <w:rsid w:val="5AA47648"/>
    <w:rsid w:val="5DA25F3C"/>
    <w:rsid w:val="5F2D4B46"/>
    <w:rsid w:val="68114E6D"/>
    <w:rsid w:val="725A45B4"/>
    <w:rsid w:val="778063C6"/>
    <w:rsid w:val="788D3472"/>
    <w:rsid w:val="7AA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3F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92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92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9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qFormat/>
    <w:rsid w:val="00A920DA"/>
    <w:pPr>
      <w:snapToGrid w:val="0"/>
      <w:jc w:val="left"/>
    </w:pPr>
    <w:rPr>
      <w:sz w:val="18"/>
      <w:szCs w:val="18"/>
    </w:rPr>
  </w:style>
  <w:style w:type="character" w:styleId="ab">
    <w:name w:val="footnote reference"/>
    <w:basedOn w:val="a0"/>
    <w:uiPriority w:val="99"/>
    <w:unhideWhenUsed/>
    <w:qFormat/>
    <w:rsid w:val="00A920DA"/>
    <w:rPr>
      <w:vertAlign w:val="superscript"/>
    </w:rPr>
  </w:style>
  <w:style w:type="character" w:customStyle="1" w:styleId="a8">
    <w:name w:val="页眉字符"/>
    <w:basedOn w:val="a0"/>
    <w:link w:val="a7"/>
    <w:uiPriority w:val="99"/>
    <w:semiHidden/>
    <w:qFormat/>
    <w:rsid w:val="00A920DA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sid w:val="00A920DA"/>
    <w:rPr>
      <w:sz w:val="18"/>
      <w:szCs w:val="18"/>
    </w:rPr>
  </w:style>
  <w:style w:type="character" w:customStyle="1" w:styleId="aa">
    <w:name w:val="脚注文本字符"/>
    <w:basedOn w:val="a0"/>
    <w:link w:val="a9"/>
    <w:uiPriority w:val="99"/>
    <w:semiHidden/>
    <w:qFormat/>
    <w:rsid w:val="00A920DA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sid w:val="00A920DA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91C68"/>
    <w:pPr>
      <w:ind w:leftChars="2500" w:left="100"/>
    </w:pPr>
  </w:style>
  <w:style w:type="character" w:customStyle="1" w:styleId="ad">
    <w:name w:val="日期字符"/>
    <w:basedOn w:val="a0"/>
    <w:link w:val="ac"/>
    <w:uiPriority w:val="99"/>
    <w:semiHidden/>
    <w:rsid w:val="00391C6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chart" Target="charts/chart3.xml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chart" Target="charts/chart1.xml"/><Relationship Id="rId17" Type="http://schemas.openxmlformats.org/officeDocument/2006/relationships/chart" Target="charts/chart2.xml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770;&#25991;\&#26696;&#20214;&#27969;&#36716;&#21608;&#26399;&#21450;&#33410;&#28857;&#25511;&#21046;&#30340;&#21496;&#27861;&#32479;&#35745;&#20998;&#26512;\&#29992;&#34920;\&#23457;&#38480;&#34920;\&#19968;&#23457;&#26696;&#20214;&#26696;&#30001;&#23457;&#29702;&#26399;&#38480;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770;&#25991;\&#26696;&#20214;&#27969;&#36716;&#21608;&#26399;&#21450;&#33410;&#28857;&#25511;&#21046;&#30340;&#21496;&#27861;&#32479;&#35745;&#20998;&#26512;\&#29992;&#34920;\&#23457;&#38480;&#34920;\&#21508;&#38498;&#20010;&#26376;&#24179;&#22343;&#21150;&#29702;&#22825;&#2596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770;&#25991;\&#26696;&#20214;&#27969;&#36716;&#21608;&#26399;&#21450;&#33410;&#28857;&#25511;&#21046;&#30340;&#21496;&#27861;&#32479;&#35745;&#20998;&#26512;\&#29992;&#34920;\&#23457;&#38480;&#34920;\&#19968;&#23457;&#24320;&#24237;&#21069;&#21518;&#26102;&#38388;&#23545;&#27604;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一审案件案由审理期限!$B$1</c:f>
              <c:strCache>
                <c:ptCount val="1"/>
                <c:pt idx="0">
                  <c:v>平均审理天数</c:v>
                </c:pt>
              </c:strCache>
            </c:strRef>
          </c:tx>
          <c:invertIfNegative val="0"/>
          <c:cat>
            <c:strRef>
              <c:f>一审案件案由审理期限!$A$2:$A$28</c:f>
              <c:strCache>
                <c:ptCount val="27"/>
                <c:pt idx="0">
                  <c:v>小额借款合同纠纷</c:v>
                </c:pt>
                <c:pt idx="1">
                  <c:v>劳动争议</c:v>
                </c:pt>
                <c:pt idx="2">
                  <c:v>建设工程施工合同纠纷</c:v>
                </c:pt>
                <c:pt idx="3">
                  <c:v>房屋买卖合同纠纷</c:v>
                </c:pt>
                <c:pt idx="4">
                  <c:v>建设工程合同纠纷</c:v>
                </c:pt>
                <c:pt idx="5">
                  <c:v>合同纠纷</c:v>
                </c:pt>
                <c:pt idx="6">
                  <c:v>土地承包经营权纠纷</c:v>
                </c:pt>
                <c:pt idx="7">
                  <c:v>房屋租赁合同纠纷</c:v>
                </c:pt>
                <c:pt idx="8">
                  <c:v>追偿权纠纷</c:v>
                </c:pt>
                <c:pt idx="9">
                  <c:v>财产损害赔偿纠纷</c:v>
                </c:pt>
                <c:pt idx="10">
                  <c:v>提供劳务者受害责任纠纷</c:v>
                </c:pt>
                <c:pt idx="11">
                  <c:v>机动车交通事故责任纠纷</c:v>
                </c:pt>
                <c:pt idx="12">
                  <c:v>金融借款合同纠纷</c:v>
                </c:pt>
                <c:pt idx="13">
                  <c:v>生命权、健康权、身体权纠纷</c:v>
                </c:pt>
                <c:pt idx="14">
                  <c:v>承包地征收补偿费用分配纠纷</c:v>
                </c:pt>
                <c:pt idx="15">
                  <c:v>民间借贷纠纷</c:v>
                </c:pt>
                <c:pt idx="16">
                  <c:v>借款合同纠纷</c:v>
                </c:pt>
                <c:pt idx="17">
                  <c:v>侵权责任纠纷</c:v>
                </c:pt>
                <c:pt idx="18">
                  <c:v>买卖合同纠纷</c:v>
                </c:pt>
                <c:pt idx="19">
                  <c:v>劳务合同纠纷</c:v>
                </c:pt>
                <c:pt idx="20">
                  <c:v>离婚纠纷</c:v>
                </c:pt>
                <c:pt idx="21">
                  <c:v>追索劳动报酬纠纷</c:v>
                </c:pt>
                <c:pt idx="22">
                  <c:v>继承纠纷</c:v>
                </c:pt>
                <c:pt idx="23">
                  <c:v>物业服务合同纠纷</c:v>
                </c:pt>
                <c:pt idx="24">
                  <c:v>供用水合同纠纷</c:v>
                </c:pt>
                <c:pt idx="25">
                  <c:v>供用热力合同纠纷</c:v>
                </c:pt>
                <c:pt idx="26">
                  <c:v>变更抚养关系纠纷</c:v>
                </c:pt>
              </c:strCache>
            </c:strRef>
          </c:cat>
          <c:val>
            <c:numRef>
              <c:f>一审案件案由审理期限!$B$2:$B$28</c:f>
              <c:numCache>
                <c:formatCode>General</c:formatCode>
                <c:ptCount val="27"/>
                <c:pt idx="0">
                  <c:v>121.96</c:v>
                </c:pt>
                <c:pt idx="1">
                  <c:v>119.82</c:v>
                </c:pt>
                <c:pt idx="2">
                  <c:v>107.43</c:v>
                </c:pt>
                <c:pt idx="3">
                  <c:v>100.42</c:v>
                </c:pt>
                <c:pt idx="4">
                  <c:v>98.44000000000002</c:v>
                </c:pt>
                <c:pt idx="5">
                  <c:v>98.25</c:v>
                </c:pt>
                <c:pt idx="6">
                  <c:v>94.58</c:v>
                </c:pt>
                <c:pt idx="7">
                  <c:v>94.24000000000002</c:v>
                </c:pt>
                <c:pt idx="8">
                  <c:v>92.695</c:v>
                </c:pt>
                <c:pt idx="9">
                  <c:v>90.45</c:v>
                </c:pt>
                <c:pt idx="10">
                  <c:v>89.79</c:v>
                </c:pt>
                <c:pt idx="11">
                  <c:v>88.83</c:v>
                </c:pt>
                <c:pt idx="12">
                  <c:v>88.04</c:v>
                </c:pt>
                <c:pt idx="13">
                  <c:v>83.35499999999998</c:v>
                </c:pt>
                <c:pt idx="14">
                  <c:v>80.79</c:v>
                </c:pt>
                <c:pt idx="15">
                  <c:v>80.4</c:v>
                </c:pt>
                <c:pt idx="16">
                  <c:v>80.21000000000002</c:v>
                </c:pt>
                <c:pt idx="17">
                  <c:v>78.66999999999998</c:v>
                </c:pt>
                <c:pt idx="18">
                  <c:v>75.95</c:v>
                </c:pt>
                <c:pt idx="19">
                  <c:v>71.3</c:v>
                </c:pt>
                <c:pt idx="20">
                  <c:v>60.53</c:v>
                </c:pt>
                <c:pt idx="21">
                  <c:v>54.27500000000001</c:v>
                </c:pt>
                <c:pt idx="22">
                  <c:v>48.51</c:v>
                </c:pt>
                <c:pt idx="23">
                  <c:v>41.55</c:v>
                </c:pt>
                <c:pt idx="24">
                  <c:v>35.95</c:v>
                </c:pt>
                <c:pt idx="25">
                  <c:v>31.93</c:v>
                </c:pt>
                <c:pt idx="26">
                  <c:v>26.45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4866088"/>
        <c:axId val="2144827800"/>
      </c:barChart>
      <c:catAx>
        <c:axId val="2144866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44827800"/>
        <c:crosses val="autoZero"/>
        <c:auto val="1"/>
        <c:lblAlgn val="ctr"/>
        <c:lblOffset val="100"/>
        <c:noMultiLvlLbl val="0"/>
      </c:catAx>
      <c:valAx>
        <c:axId val="2144827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4486608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Sheet1!$A$20</c:f>
              <c:strCache>
                <c:ptCount val="1"/>
                <c:pt idx="0">
                  <c:v>结案数量</c:v>
                </c:pt>
              </c:strCache>
            </c:strRef>
          </c:tx>
          <c:cat>
            <c:strRef>
              <c:f>Sheet1!$B$18:$M$18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Sheet1!$B$20:$M$20</c:f>
              <c:numCache>
                <c:formatCode>General</c:formatCode>
                <c:ptCount val="12"/>
                <c:pt idx="0">
                  <c:v>1229.0</c:v>
                </c:pt>
                <c:pt idx="1">
                  <c:v>1204.0</c:v>
                </c:pt>
                <c:pt idx="2">
                  <c:v>2715.0</c:v>
                </c:pt>
                <c:pt idx="3">
                  <c:v>2502.0</c:v>
                </c:pt>
                <c:pt idx="4">
                  <c:v>2769.0</c:v>
                </c:pt>
                <c:pt idx="5">
                  <c:v>3669.0</c:v>
                </c:pt>
                <c:pt idx="6">
                  <c:v>2176.0</c:v>
                </c:pt>
                <c:pt idx="7">
                  <c:v>2714.0</c:v>
                </c:pt>
                <c:pt idx="8">
                  <c:v>3119.0</c:v>
                </c:pt>
                <c:pt idx="9">
                  <c:v>2968.0</c:v>
                </c:pt>
                <c:pt idx="10">
                  <c:v>4786.0</c:v>
                </c:pt>
                <c:pt idx="11">
                  <c:v>4971.0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8857912"/>
        <c:axId val="2144821080"/>
      </c:lineChart>
      <c:lineChart>
        <c:grouping val="standard"/>
        <c:varyColors val="0"/>
        <c:ser>
          <c:idx val="0"/>
          <c:order val="0"/>
          <c:tx>
            <c:strRef>
              <c:f>Sheet1!$A$19</c:f>
              <c:strCache>
                <c:ptCount val="1"/>
                <c:pt idx="0">
                  <c:v>平均办理天数</c:v>
                </c:pt>
              </c:strCache>
            </c:strRef>
          </c:tx>
          <c:cat>
            <c:strRef>
              <c:f>Sheet1!$B$18:$M$18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Sheet1!$B$19:$M$19</c:f>
              <c:numCache>
                <c:formatCode>General</c:formatCode>
                <c:ptCount val="12"/>
                <c:pt idx="0">
                  <c:v>89.4</c:v>
                </c:pt>
                <c:pt idx="1">
                  <c:v>86.3</c:v>
                </c:pt>
                <c:pt idx="2">
                  <c:v>73.9</c:v>
                </c:pt>
                <c:pt idx="3">
                  <c:v>78.4</c:v>
                </c:pt>
                <c:pt idx="4">
                  <c:v>80.7</c:v>
                </c:pt>
                <c:pt idx="5">
                  <c:v>73.9</c:v>
                </c:pt>
                <c:pt idx="6">
                  <c:v>81.8</c:v>
                </c:pt>
                <c:pt idx="7">
                  <c:v>70.3</c:v>
                </c:pt>
                <c:pt idx="8">
                  <c:v>79.3</c:v>
                </c:pt>
                <c:pt idx="9">
                  <c:v>86.5</c:v>
                </c:pt>
                <c:pt idx="10">
                  <c:v>71.6</c:v>
                </c:pt>
                <c:pt idx="11">
                  <c:v>80.9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5037128"/>
        <c:axId val="2144902984"/>
      </c:lineChart>
      <c:catAx>
        <c:axId val="2078857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4821080"/>
        <c:crosses val="autoZero"/>
        <c:auto val="1"/>
        <c:lblAlgn val="ctr"/>
        <c:lblOffset val="100"/>
        <c:noMultiLvlLbl val="0"/>
      </c:catAx>
      <c:valAx>
        <c:axId val="2144821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857912"/>
        <c:crosses val="autoZero"/>
        <c:crossBetween val="between"/>
      </c:valAx>
      <c:valAx>
        <c:axId val="21449029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45037128"/>
        <c:crosses val="max"/>
        <c:crossBetween val="between"/>
      </c:valAx>
      <c:catAx>
        <c:axId val="2145037128"/>
        <c:scaling>
          <c:orientation val="minMax"/>
        </c:scaling>
        <c:delete val="1"/>
        <c:axPos val="b"/>
        <c:majorTickMark val="out"/>
        <c:minorTickMark val="none"/>
        <c:tickLblPos val="none"/>
        <c:crossAx val="2144902984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Sheet1!$C$2</c:f>
              <c:strCache>
                <c:ptCount val="1"/>
                <c:pt idx="0">
                  <c:v>案件数量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Sheet1!$B$3:$B$5</c:f>
              <c:strCache>
                <c:ptCount val="3"/>
                <c:pt idx="0">
                  <c:v>未开庭</c:v>
                </c:pt>
                <c:pt idx="1">
                  <c:v>1次</c:v>
                </c:pt>
                <c:pt idx="2">
                  <c:v>2次及以上</c:v>
                </c:pt>
              </c:strCache>
            </c: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6447.0</c:v>
                </c:pt>
                <c:pt idx="1">
                  <c:v>18172.0</c:v>
                </c:pt>
                <c:pt idx="2">
                  <c:v>4972.0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AC758-7DCC-2449-8EC1-62EBEB4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20</Pages>
  <Words>678</Words>
  <Characters>3867</Characters>
  <Application>Microsoft Macintosh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alian</cp:lastModifiedBy>
  <cp:revision>21</cp:revision>
  <cp:lastPrinted>2017-06-26T23:27:00Z</cp:lastPrinted>
  <dcterms:created xsi:type="dcterms:W3CDTF">2018-06-13T22:31:00Z</dcterms:created>
  <dcterms:modified xsi:type="dcterms:W3CDTF">2018-10-29T07:18:00Z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