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8857" w14:textId="77777777" w:rsidR="00DA44F8" w:rsidRDefault="0061414B">
      <w:pPr>
        <w:snapToGrid w:val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2022</w:t>
      </w:r>
      <w:r>
        <w:rPr>
          <w:rFonts w:eastAsia="方正小标宋简体" w:cs="方正小标宋简体" w:hint="eastAsia"/>
          <w:sz w:val="44"/>
          <w:szCs w:val="44"/>
        </w:rPr>
        <w:t>年上半年审判绩效数据情况分析</w:t>
      </w:r>
    </w:p>
    <w:p w14:paraId="07E756D6" w14:textId="77777777" w:rsidR="00DA44F8" w:rsidRDefault="00DA44F8">
      <w:pPr>
        <w:snapToGrid w:val="0"/>
        <w:jc w:val="center"/>
        <w:rPr>
          <w:rFonts w:eastAsia="方正小标宋简体" w:cs="方正小标宋简体"/>
          <w:sz w:val="44"/>
          <w:szCs w:val="44"/>
        </w:rPr>
      </w:pPr>
    </w:p>
    <w:p w14:paraId="50FB126D" w14:textId="56C5F810" w:rsidR="00DA44F8" w:rsidRDefault="0061414B">
      <w:pPr>
        <w:ind w:firstLineChars="200" w:firstLine="632"/>
        <w:rPr>
          <w:rFonts w:eastAsia="黑体" w:cs="黑体"/>
        </w:rPr>
      </w:pPr>
      <w:r>
        <w:rPr>
          <w:rFonts w:eastAsia="黑体" w:cs="黑体" w:hint="eastAsia"/>
        </w:rPr>
        <w:t>一、指标完成情况</w:t>
      </w:r>
    </w:p>
    <w:p w14:paraId="2CE863A6" w14:textId="77777777" w:rsidR="00DA44F8" w:rsidRDefault="0061414B">
      <w:pPr>
        <w:ind w:firstLineChars="200" w:firstLine="634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结案率</w:t>
      </w:r>
    </w:p>
    <w:p w14:paraId="6A43A4DA" w14:textId="36805F21" w:rsidR="00DA44F8" w:rsidRDefault="0061414B">
      <w:pPr>
        <w:ind w:firstLineChars="200" w:firstLine="632"/>
      </w:pPr>
      <w:r>
        <w:rPr>
          <w:rFonts w:hint="eastAsia"/>
        </w:rPr>
        <w:t>上半年，两级法院受案</w:t>
      </w:r>
      <w:r>
        <w:rPr>
          <w:rFonts w:hint="eastAsia"/>
        </w:rPr>
        <w:t>1303</w:t>
      </w:r>
      <w:r>
        <w:rPr>
          <w:rFonts w:hint="eastAsia"/>
        </w:rPr>
        <w:t>件，结案</w:t>
      </w:r>
      <w:r>
        <w:rPr>
          <w:rFonts w:hint="eastAsia"/>
        </w:rPr>
        <w:t>1264</w:t>
      </w:r>
      <w:r>
        <w:rPr>
          <w:rFonts w:hint="eastAsia"/>
        </w:rPr>
        <w:t>件，结案率达到</w:t>
      </w:r>
      <w:r>
        <w:rPr>
          <w:rFonts w:hint="eastAsia"/>
        </w:rPr>
        <w:t>97.01%</w:t>
      </w:r>
      <w:r>
        <w:rPr>
          <w:rFonts w:hint="eastAsia"/>
        </w:rPr>
        <w:t>，在直属法院中排名首位，超过指标要求（</w:t>
      </w:r>
      <w:r>
        <w:rPr>
          <w:rFonts w:hint="eastAsia"/>
        </w:rPr>
        <w:t>83%</w:t>
      </w:r>
      <w:r>
        <w:rPr>
          <w:rFonts w:hint="eastAsia"/>
        </w:rPr>
        <w:t>）</w:t>
      </w:r>
      <w:r>
        <w:rPr>
          <w:rFonts w:hint="eastAsia"/>
        </w:rPr>
        <w:t>14.01</w:t>
      </w:r>
      <w:r>
        <w:rPr>
          <w:rFonts w:hint="eastAsia"/>
        </w:rPr>
        <w:t>个百分点，各基层法院结案率均超过</w:t>
      </w:r>
      <w:r>
        <w:rPr>
          <w:rFonts w:hint="eastAsia"/>
        </w:rPr>
        <w:t>93%</w:t>
      </w:r>
      <w:r>
        <w:rPr>
          <w:rFonts w:hint="eastAsia"/>
        </w:rPr>
        <w:t>。</w:t>
      </w:r>
    </w:p>
    <w:p w14:paraId="6C803811" w14:textId="300C3897" w:rsidR="00DA44F8" w:rsidRDefault="00DC4D2B">
      <w:pPr>
        <w:ind w:firstLineChars="200" w:firstLine="634"/>
        <w:rPr>
          <w:b/>
          <w:bCs/>
        </w:rPr>
      </w:pPr>
      <w:r>
        <w:rPr>
          <w:b/>
          <w:bCs/>
        </w:rPr>
        <w:t>2</w:t>
      </w:r>
      <w:r w:rsidR="0061414B">
        <w:rPr>
          <w:rFonts w:hint="eastAsia"/>
          <w:b/>
          <w:bCs/>
        </w:rPr>
        <w:t>.</w:t>
      </w:r>
      <w:r w:rsidR="0061414B">
        <w:rPr>
          <w:rFonts w:hint="eastAsia"/>
          <w:b/>
          <w:bCs/>
        </w:rPr>
        <w:t>一审案件简易程序适用率</w:t>
      </w:r>
    </w:p>
    <w:p w14:paraId="0DF3D865" w14:textId="77777777" w:rsidR="00DA44F8" w:rsidRDefault="0061414B">
      <w:pPr>
        <w:ind w:firstLineChars="200" w:firstLine="632"/>
      </w:pPr>
      <w:r>
        <w:rPr>
          <w:rFonts w:hint="eastAsia"/>
        </w:rPr>
        <w:t>上半年，两级法院一审结案</w:t>
      </w:r>
      <w:r>
        <w:rPr>
          <w:rFonts w:hint="eastAsia"/>
        </w:rPr>
        <w:t>774</w:t>
      </w:r>
      <w:r>
        <w:rPr>
          <w:rFonts w:hint="eastAsia"/>
        </w:rPr>
        <w:t>件，其中简易程序案件</w:t>
      </w:r>
      <w:r>
        <w:rPr>
          <w:rFonts w:hint="eastAsia"/>
        </w:rPr>
        <w:t>736</w:t>
      </w:r>
      <w:r>
        <w:rPr>
          <w:rFonts w:hint="eastAsia"/>
        </w:rPr>
        <w:t>件，适用率达到</w:t>
      </w:r>
      <w:r>
        <w:rPr>
          <w:rFonts w:hint="eastAsia"/>
        </w:rPr>
        <w:t>95.09%</w:t>
      </w:r>
      <w:r>
        <w:rPr>
          <w:rFonts w:hint="eastAsia"/>
        </w:rPr>
        <w:t>，超过指标要求</w:t>
      </w:r>
      <w:r>
        <w:rPr>
          <w:rFonts w:hint="eastAsia"/>
        </w:rPr>
        <w:t>8.09</w:t>
      </w:r>
      <w:r>
        <w:rPr>
          <w:rFonts w:hint="eastAsia"/>
        </w:rPr>
        <w:t>个百分点。由于部分地区案件基数较小，以白城院为例，一审结案数仅为</w:t>
      </w:r>
      <w:r>
        <w:rPr>
          <w:rFonts w:hint="eastAsia"/>
        </w:rPr>
        <w:t>33</w:t>
      </w:r>
      <w:r>
        <w:rPr>
          <w:rFonts w:hint="eastAsia"/>
        </w:rPr>
        <w:t>件，适用率为</w:t>
      </w:r>
      <w:r>
        <w:rPr>
          <w:rFonts w:hint="eastAsia"/>
        </w:rPr>
        <w:t>87.88%</w:t>
      </w:r>
      <w:r>
        <w:rPr>
          <w:rFonts w:hint="eastAsia"/>
        </w:rPr>
        <w:t>，需持续关注简易程序适用工作。</w:t>
      </w:r>
    </w:p>
    <w:p w14:paraId="5EC143AD" w14:textId="3E1A563F" w:rsidR="00DA44F8" w:rsidRDefault="00DC4D2B">
      <w:pPr>
        <w:ind w:firstLineChars="200" w:firstLine="634"/>
        <w:rPr>
          <w:b/>
          <w:bCs/>
        </w:rPr>
      </w:pPr>
      <w:r>
        <w:rPr>
          <w:b/>
          <w:bCs/>
        </w:rPr>
        <w:t>3</w:t>
      </w:r>
      <w:r w:rsidR="0061414B">
        <w:rPr>
          <w:rFonts w:hint="eastAsia"/>
          <w:b/>
          <w:bCs/>
        </w:rPr>
        <w:t>.</w:t>
      </w:r>
      <w:r w:rsidR="0061414B">
        <w:rPr>
          <w:rFonts w:hint="eastAsia"/>
          <w:b/>
          <w:bCs/>
        </w:rPr>
        <w:t>一审案件上诉被改判发回重审率</w:t>
      </w:r>
    </w:p>
    <w:p w14:paraId="374E2B66" w14:textId="75CE3E0A" w:rsidR="00DA44F8" w:rsidRDefault="0061414B">
      <w:pPr>
        <w:ind w:firstLineChars="200" w:firstLine="632"/>
      </w:pPr>
      <w:r>
        <w:rPr>
          <w:rFonts w:hint="eastAsia"/>
        </w:rPr>
        <w:t>上半年统计区间内，一审上诉被改判案件</w:t>
      </w:r>
      <w:r>
        <w:rPr>
          <w:rFonts w:hint="eastAsia"/>
        </w:rPr>
        <w:t>4</w:t>
      </w:r>
      <w:r>
        <w:rPr>
          <w:rFonts w:hint="eastAsia"/>
        </w:rPr>
        <w:t>件（长春</w:t>
      </w:r>
      <w:r>
        <w:rPr>
          <w:rFonts w:hint="eastAsia"/>
        </w:rPr>
        <w:t>3</w:t>
      </w:r>
      <w:r>
        <w:rPr>
          <w:rFonts w:hint="eastAsia"/>
        </w:rPr>
        <w:t>件、吉林</w:t>
      </w:r>
      <w:r>
        <w:rPr>
          <w:rFonts w:hint="eastAsia"/>
        </w:rPr>
        <w:t>1</w:t>
      </w:r>
      <w:r>
        <w:rPr>
          <w:rFonts w:hint="eastAsia"/>
        </w:rPr>
        <w:t>件），被发回案件</w:t>
      </w:r>
      <w:r>
        <w:rPr>
          <w:rFonts w:hint="eastAsia"/>
        </w:rPr>
        <w:t>2</w:t>
      </w:r>
      <w:r>
        <w:rPr>
          <w:rFonts w:hint="eastAsia"/>
        </w:rPr>
        <w:t>件（长春），发改率为</w:t>
      </w:r>
      <w:r>
        <w:rPr>
          <w:rFonts w:hint="eastAsia"/>
        </w:rPr>
        <w:t>0.77%</w:t>
      </w:r>
      <w:r>
        <w:rPr>
          <w:rFonts w:hint="eastAsia"/>
        </w:rPr>
        <w:t>，低于指标值（</w:t>
      </w:r>
      <w:r>
        <w:rPr>
          <w:rFonts w:hint="eastAsia"/>
        </w:rPr>
        <w:t>1.6%</w:t>
      </w:r>
      <w:r>
        <w:rPr>
          <w:rFonts w:hint="eastAsia"/>
        </w:rPr>
        <w:t>）</w:t>
      </w:r>
      <w:r>
        <w:rPr>
          <w:rFonts w:hint="eastAsia"/>
        </w:rPr>
        <w:t>0.53</w:t>
      </w:r>
      <w:r>
        <w:rPr>
          <w:rFonts w:hint="eastAsia"/>
        </w:rPr>
        <w:t>个百分点，结合受案情况年内可以达成考核指标。</w:t>
      </w:r>
    </w:p>
    <w:p w14:paraId="4CE3C2F1" w14:textId="201E3119" w:rsidR="00DA44F8" w:rsidRDefault="00DC4D2B">
      <w:pPr>
        <w:ind w:firstLineChars="200" w:firstLine="634"/>
        <w:rPr>
          <w:b/>
          <w:bCs/>
        </w:rPr>
      </w:pPr>
      <w:r>
        <w:rPr>
          <w:b/>
          <w:bCs/>
        </w:rPr>
        <w:t>4</w:t>
      </w:r>
      <w:r w:rsidR="0061414B">
        <w:rPr>
          <w:rFonts w:hint="eastAsia"/>
          <w:b/>
          <w:bCs/>
        </w:rPr>
        <w:t>.</w:t>
      </w:r>
      <w:r w:rsidR="0061414B">
        <w:rPr>
          <w:rFonts w:hint="eastAsia"/>
          <w:b/>
          <w:bCs/>
        </w:rPr>
        <w:t>生效案件被改判发回重审率</w:t>
      </w:r>
    </w:p>
    <w:p w14:paraId="58BA7E0D" w14:textId="77777777" w:rsidR="00DA44F8" w:rsidRDefault="0061414B">
      <w:pPr>
        <w:ind w:firstLineChars="200" w:firstLine="632"/>
      </w:pPr>
      <w:r>
        <w:t>上半年统计区间内，</w:t>
      </w:r>
      <w:r>
        <w:rPr>
          <w:rFonts w:hint="eastAsia"/>
        </w:rPr>
        <w:t>没有再审案件被改判发回，同比下降</w:t>
      </w:r>
      <w:r>
        <w:rPr>
          <w:rFonts w:hint="eastAsia"/>
        </w:rPr>
        <w:t>0.2</w:t>
      </w:r>
      <w:r>
        <w:rPr>
          <w:rFonts w:hint="eastAsia"/>
        </w:rPr>
        <w:t>个百分点，结合受案情况年内可以达成考核指标。</w:t>
      </w:r>
    </w:p>
    <w:p w14:paraId="0DAAAF86" w14:textId="77777777" w:rsidR="00DA44F8" w:rsidRDefault="0061414B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二、下一步的工作重点</w:t>
      </w:r>
    </w:p>
    <w:p w14:paraId="21804F1D" w14:textId="0474B4A3" w:rsidR="00DA44F8" w:rsidRDefault="003861CB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1</w:t>
      </w:r>
      <w:r>
        <w:rPr>
          <w:rFonts w:ascii="仿宋_GB2312" w:hAnsi="仿宋_GB2312"/>
        </w:rPr>
        <w:t>.</w:t>
      </w:r>
      <w:r w:rsidR="0061414B">
        <w:rPr>
          <w:rFonts w:ascii="仿宋_GB2312" w:hAnsi="仿宋_GB2312" w:hint="eastAsia"/>
        </w:rPr>
        <w:t>案件质量，（发改，重点关注长春地区）评查，各审判条</w:t>
      </w:r>
      <w:r w:rsidR="0061414B">
        <w:rPr>
          <w:rFonts w:ascii="仿宋_GB2312" w:hAnsi="仿宋_GB2312" w:hint="eastAsia"/>
        </w:rPr>
        <w:lastRenderedPageBreak/>
        <w:t>线的总结指导。</w:t>
      </w:r>
    </w:p>
    <w:p w14:paraId="5267C6BA" w14:textId="6F4547D5" w:rsidR="00DA44F8" w:rsidRDefault="003861CB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2</w:t>
      </w:r>
      <w:r>
        <w:rPr>
          <w:rFonts w:ascii="仿宋_GB2312" w:hAnsi="仿宋_GB2312"/>
        </w:rPr>
        <w:t>.</w:t>
      </w:r>
      <w:r w:rsidR="0061414B">
        <w:rPr>
          <w:rFonts w:ascii="仿宋_GB2312" w:hAnsi="仿宋_GB2312" w:hint="eastAsia"/>
        </w:rPr>
        <w:t>书记员、助理业务能力，落实导师制，开展技能竞赛，审判团队中书记员管理的强化，新入职书记员的学习培训。</w:t>
      </w:r>
    </w:p>
    <w:p w14:paraId="723FBA70" w14:textId="1E91219F" w:rsidR="00DA44F8" w:rsidRDefault="003861CB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3</w:t>
      </w:r>
      <w:r>
        <w:rPr>
          <w:rFonts w:ascii="仿宋_GB2312" w:hAnsi="仿宋_GB2312"/>
        </w:rPr>
        <w:t>.</w:t>
      </w:r>
      <w:r w:rsidR="0061414B">
        <w:rPr>
          <w:rFonts w:ascii="仿宋_GB2312" w:hAnsi="仿宋_GB2312" w:hint="eastAsia"/>
        </w:rPr>
        <w:t>司法公开的政治站位，裁判文书低级错误的避免。</w:t>
      </w:r>
    </w:p>
    <w:sectPr w:rsidR="00DA44F8">
      <w:pgSz w:w="11906" w:h="16838"/>
      <w:pgMar w:top="2098" w:right="1531" w:bottom="1984" w:left="1531" w:header="851" w:footer="992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9466" w14:textId="77777777" w:rsidR="002C1D5B" w:rsidRDefault="002C1D5B" w:rsidP="003861CB">
      <w:r>
        <w:separator/>
      </w:r>
    </w:p>
  </w:endnote>
  <w:endnote w:type="continuationSeparator" w:id="0">
    <w:p w14:paraId="4D9696F1" w14:textId="77777777" w:rsidR="002C1D5B" w:rsidRDefault="002C1D5B" w:rsidP="003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A8C392F-D66C-4F52-9B6A-B5185654D959}"/>
    <w:embedBold r:id="rId2" w:subsetted="1" w:fontKey="{3C255D10-CC59-49AB-BB06-F1A6CB344A8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441607C-B876-40F3-B31A-CE08EF0CD8D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DF24" w14:textId="77777777" w:rsidR="002C1D5B" w:rsidRDefault="002C1D5B" w:rsidP="003861CB">
      <w:r>
        <w:separator/>
      </w:r>
    </w:p>
  </w:footnote>
  <w:footnote w:type="continuationSeparator" w:id="0">
    <w:p w14:paraId="2FACC438" w14:textId="77777777" w:rsidR="002C1D5B" w:rsidRDefault="002C1D5B" w:rsidP="0038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</w:docVars>
  <w:rsids>
    <w:rsidRoot w:val="00DA44F8"/>
    <w:rsid w:val="002C1D5B"/>
    <w:rsid w:val="003861CB"/>
    <w:rsid w:val="0061414B"/>
    <w:rsid w:val="00DA44F8"/>
    <w:rsid w:val="00DC4D2B"/>
    <w:rsid w:val="2A725E73"/>
    <w:rsid w:val="3D9C33FA"/>
    <w:rsid w:val="44E31827"/>
    <w:rsid w:val="4A3E262F"/>
    <w:rsid w:val="4E63180D"/>
    <w:rsid w:val="50B56D5A"/>
    <w:rsid w:val="5B7A0FCA"/>
    <w:rsid w:val="5BC9255C"/>
    <w:rsid w:val="5E0838C4"/>
    <w:rsid w:val="6F655B31"/>
    <w:rsid w:val="7E0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12F45"/>
  <w15:docId w15:val="{B321A11A-F7A8-4537-AC40-786024BB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61CB"/>
    <w:rPr>
      <w:rFonts w:ascii="Times New Roman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a6"/>
    <w:rsid w:val="0038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61CB"/>
    <w:rPr>
      <w:rFonts w:ascii="Times New Roman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GUO PENGYU</cp:lastModifiedBy>
  <cp:revision>3</cp:revision>
  <dcterms:created xsi:type="dcterms:W3CDTF">2022-04-05T01:02:00Z</dcterms:created>
  <dcterms:modified xsi:type="dcterms:W3CDTF">2022-12-06T07:10:00Z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E2D1216AEE004C87BBCCE323E059D06E</vt:lpwstr>
  </property>
</Properties>
</file>